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21AC" w14:textId="43FCA36B" w:rsidR="00C924A8" w:rsidRDefault="00530E5C" w:rsidP="00530E5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Chapter 3: Isolated-Wetland </w:t>
      </w:r>
      <w:r w:rsidR="00AE1957">
        <w:rPr>
          <w:rFonts w:ascii="Arial" w:hAnsi="Arial" w:cs="Arial"/>
        </w:rPr>
        <w:t>Contribute Relatively Little to Stream Carbon but Foster External Lateral Export</w:t>
      </w:r>
      <w:r>
        <w:rPr>
          <w:rFonts w:ascii="Arial" w:hAnsi="Arial" w:cs="Arial"/>
        </w:rPr>
        <w:t>: Mapping the Carbon Cycle</w:t>
      </w:r>
      <w:r w:rsidR="00B64201">
        <w:rPr>
          <w:rFonts w:ascii="Arial" w:hAnsi="Arial" w:cs="Arial"/>
        </w:rPr>
        <w:t xml:space="preserve"> in “</w:t>
      </w:r>
      <w:proofErr w:type="spellStart"/>
      <w:r w:rsidR="00B64201">
        <w:rPr>
          <w:rFonts w:ascii="Arial" w:hAnsi="Arial" w:cs="Arial"/>
        </w:rPr>
        <w:t>Wetlandscapes</w:t>
      </w:r>
      <w:proofErr w:type="spellEnd"/>
      <w:r w:rsidR="00B64201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7FE6074F" w14:textId="77777777" w:rsidR="00530E5C" w:rsidRDefault="00530E5C" w:rsidP="00530E5C">
      <w:pPr>
        <w:pStyle w:val="ListParagraph"/>
        <w:rPr>
          <w:rFonts w:ascii="Arial" w:hAnsi="Arial" w:cs="Arial"/>
        </w:rPr>
      </w:pPr>
    </w:p>
    <w:p w14:paraId="6AB9EE3F" w14:textId="77777777" w:rsidR="008229A3" w:rsidRDefault="008229A3" w:rsidP="008229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8229A3">
        <w:rPr>
          <w:rFonts w:ascii="Arial" w:hAnsi="Arial" w:cs="Arial"/>
        </w:rPr>
        <w:t xml:space="preserve">andscape hydrology predicates that hydrologic and biogeochemical changes in one region of a watershed have the potential to cascade across the entire basin. </w:t>
      </w:r>
    </w:p>
    <w:p w14:paraId="64B2E872" w14:textId="77777777" w:rsidR="008229A3" w:rsidRDefault="008229A3" w:rsidP="008229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229A3">
        <w:rPr>
          <w:rFonts w:ascii="Arial" w:hAnsi="Arial" w:cs="Arial"/>
        </w:rPr>
        <w:t xml:space="preserve">Through the lens of landscape hydrology, the watershed is viewed as a singular, relatively closed system, encompassing micro-ecosystems that collectively contribute to the basin’s distinct biogeochemical and hydrologic fingerprint. </w:t>
      </w:r>
    </w:p>
    <w:p w14:paraId="28245CC4" w14:textId="77777777" w:rsidR="008229A3" w:rsidRDefault="008229A3" w:rsidP="008229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229A3">
        <w:rPr>
          <w:rFonts w:ascii="Arial" w:hAnsi="Arial" w:cs="Arial"/>
        </w:rPr>
        <w:t xml:space="preserve">However, the relevance of "landscape hydrology" is watershed specific, dependent on the basin's connectedness or how water flows and is stored between inland waters. </w:t>
      </w:r>
    </w:p>
    <w:p w14:paraId="0DBAB92B" w14:textId="16028E3A" w:rsidR="008229A3" w:rsidRDefault="008229A3" w:rsidP="008229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229A3">
        <w:rPr>
          <w:rFonts w:ascii="Arial" w:hAnsi="Arial" w:cs="Arial"/>
        </w:rPr>
        <w:t>This landscape "connectedness" is largely dependent on wetland area</w:t>
      </w:r>
      <w:r>
        <w:rPr>
          <w:rFonts w:ascii="Arial" w:hAnsi="Arial" w:cs="Arial"/>
        </w:rPr>
        <w:t xml:space="preserve">, namely </w:t>
      </w:r>
      <w:r w:rsidR="002D28E4">
        <w:rPr>
          <w:rFonts w:ascii="Arial" w:hAnsi="Arial" w:cs="Arial"/>
        </w:rPr>
        <w:t>geographically isolated wetlands (GIWs)</w:t>
      </w:r>
      <w:r w:rsidRPr="008229A3">
        <w:rPr>
          <w:rFonts w:ascii="Arial" w:hAnsi="Arial" w:cs="Arial"/>
        </w:rPr>
        <w:t>.</w:t>
      </w:r>
    </w:p>
    <w:p w14:paraId="5E287EFE" w14:textId="205983EB" w:rsidR="000339D1" w:rsidRPr="000339D1" w:rsidRDefault="008229A3" w:rsidP="000339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D28E4">
        <w:rPr>
          <w:rFonts w:ascii="Arial" w:hAnsi="Arial" w:cs="Arial"/>
        </w:rPr>
        <w:t>GIWs</w:t>
      </w:r>
      <w:r w:rsidRPr="008229A3">
        <w:rPr>
          <w:rFonts w:ascii="Arial" w:hAnsi="Arial" w:cs="Arial"/>
        </w:rPr>
        <w:t xml:space="preserve"> disrupt the flow of watershed runoff. Instead of water flowing down elevation </w:t>
      </w:r>
      <w:r>
        <w:rPr>
          <w:rFonts w:ascii="Arial" w:hAnsi="Arial" w:cs="Arial"/>
        </w:rPr>
        <w:t>and exported to</w:t>
      </w:r>
      <w:r w:rsidRPr="008229A3">
        <w:rPr>
          <w:rFonts w:ascii="Arial" w:hAnsi="Arial" w:cs="Arial"/>
        </w:rPr>
        <w:t xml:space="preserve"> streams, water is </w:t>
      </w:r>
      <w:r>
        <w:rPr>
          <w:rFonts w:ascii="Arial" w:hAnsi="Arial" w:cs="Arial"/>
        </w:rPr>
        <w:t xml:space="preserve">instead </w:t>
      </w:r>
      <w:r w:rsidRPr="008229A3">
        <w:rPr>
          <w:rFonts w:ascii="Arial" w:hAnsi="Arial" w:cs="Arial"/>
        </w:rPr>
        <w:t xml:space="preserve">stored within the catchment, fated to either efflux to the atmosphere, remain stored in the wetland basin, or exchange with the surficial aquifer. </w:t>
      </w:r>
    </w:p>
    <w:p w14:paraId="3A87C710" w14:textId="6DCD358B" w:rsidR="008229A3" w:rsidRPr="000339D1" w:rsidRDefault="000339D1" w:rsidP="000339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39D1">
        <w:rPr>
          <w:rFonts w:ascii="Arial" w:hAnsi="Arial" w:cs="Arial"/>
        </w:rPr>
        <w:t>Through wetland-aquifer exchange, GIWs modulate the surficial aquifer by sourcing and receiving groundwater, buffering flow extremes, and dictating downstream baseflow, while also facilitating transport between inland waters, even without overland connectivity.</w:t>
      </w:r>
    </w:p>
    <w:p w14:paraId="21419105" w14:textId="77777777" w:rsidR="008229A3" w:rsidRDefault="008229A3" w:rsidP="008229A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229A3">
        <w:rPr>
          <w:rFonts w:ascii="Arial" w:hAnsi="Arial" w:cs="Arial"/>
        </w:rPr>
        <w:t xml:space="preserve">In low-relief catchments, the biogeochemical signature of each inland water is dependent on the upland hydrology, as well as the water table elevation. </w:t>
      </w:r>
    </w:p>
    <w:p w14:paraId="1F4D3D92" w14:textId="3A7DA744" w:rsidR="000339D1" w:rsidRDefault="000339D1" w:rsidP="001E36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39D1">
        <w:rPr>
          <w:rFonts w:ascii="Arial" w:hAnsi="Arial" w:cs="Arial"/>
        </w:rPr>
        <w:t>The chemical fingerprint of low-relief stream water results from the "wetlandscape</w:t>
      </w:r>
      <w:r>
        <w:rPr>
          <w:rFonts w:ascii="Arial" w:hAnsi="Arial" w:cs="Arial"/>
        </w:rPr>
        <w:t>,</w:t>
      </w:r>
      <w:r w:rsidRPr="000339D1">
        <w:rPr>
          <w:rFonts w:ascii="Arial" w:hAnsi="Arial" w:cs="Arial"/>
        </w:rPr>
        <w:t>" the biogeochemical reactions within GIWs, the surficial aquifer, and the river corridor.</w:t>
      </w:r>
    </w:p>
    <w:p w14:paraId="51CB5503" w14:textId="213F953E" w:rsidR="008229A3" w:rsidRPr="001E36B5" w:rsidRDefault="008229A3" w:rsidP="001E36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229A3">
        <w:rPr>
          <w:rFonts w:ascii="Arial" w:hAnsi="Arial" w:cs="Arial"/>
        </w:rPr>
        <w:t xml:space="preserve">In contrast, dry, unconfined watersheds with less exchange between inland waters feature aquatic environments that are more independent, </w:t>
      </w:r>
      <w:r>
        <w:rPr>
          <w:rFonts w:ascii="Arial" w:hAnsi="Arial" w:cs="Arial"/>
        </w:rPr>
        <w:t>with</w:t>
      </w:r>
      <w:r w:rsidRPr="008229A3">
        <w:rPr>
          <w:rFonts w:ascii="Arial" w:hAnsi="Arial" w:cs="Arial"/>
        </w:rPr>
        <w:t xml:space="preserve"> stream biogeochemical signatures more </w:t>
      </w:r>
      <w:r>
        <w:rPr>
          <w:rFonts w:ascii="Arial" w:hAnsi="Arial" w:cs="Arial"/>
        </w:rPr>
        <w:t xml:space="preserve">like </w:t>
      </w:r>
      <w:r w:rsidRPr="008229A3">
        <w:rPr>
          <w:rFonts w:ascii="Arial" w:hAnsi="Arial" w:cs="Arial"/>
        </w:rPr>
        <w:t>terrestrial inputs.</w:t>
      </w:r>
    </w:p>
    <w:p w14:paraId="40E9A79A" w14:textId="77777777" w:rsidR="00020CE8" w:rsidRPr="00020CE8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453D0E99" w14:textId="1AEFE5BA" w:rsidR="00020CE8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t>GIWs are global hot spots; the anaerobic conditions, long residence times, and extended hydroperiods</w:t>
      </w:r>
      <w:r w:rsidR="000339D1">
        <w:rPr>
          <w:rFonts w:ascii="Arial" w:hAnsi="Arial" w:cs="Arial"/>
        </w:rPr>
        <w:t xml:space="preserve"> of GIWs</w:t>
      </w:r>
      <w:r w:rsidRPr="00020CE8">
        <w:rPr>
          <w:rFonts w:ascii="Arial" w:hAnsi="Arial" w:cs="Arial"/>
        </w:rPr>
        <w:t xml:space="preserve"> encourage the re-mineralization</w:t>
      </w:r>
      <w:r>
        <w:rPr>
          <w:rFonts w:ascii="Arial" w:hAnsi="Arial" w:cs="Arial"/>
        </w:rPr>
        <w:t xml:space="preserve"> and storage</w:t>
      </w:r>
      <w:r w:rsidRPr="00020CE8">
        <w:rPr>
          <w:rFonts w:ascii="Arial" w:hAnsi="Arial" w:cs="Arial"/>
        </w:rPr>
        <w:t xml:space="preserve"> of carbon while simultaneously exporting processed waters downstream through groundwater or overland flow ("spill-and-fill"). </w:t>
      </w:r>
    </w:p>
    <w:p w14:paraId="15D3F24D" w14:textId="77777777" w:rsidR="001E36B5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the</w:t>
      </w:r>
      <w:r w:rsidRPr="00020CE8">
        <w:rPr>
          <w:rFonts w:ascii="Arial" w:hAnsi="Arial" w:cs="Arial"/>
        </w:rPr>
        <w:t xml:space="preserve"> literature, direct</w:t>
      </w:r>
      <w:r>
        <w:rPr>
          <w:rFonts w:ascii="Arial" w:hAnsi="Arial" w:cs="Arial"/>
        </w:rPr>
        <w:t xml:space="preserve"> observations</w:t>
      </w:r>
      <w:r w:rsidRPr="00020C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estimate </w:t>
      </w:r>
      <w:r w:rsidRPr="00020CE8">
        <w:rPr>
          <w:rFonts w:ascii="Arial" w:hAnsi="Arial" w:cs="Arial"/>
        </w:rPr>
        <w:t xml:space="preserve">GIWs' contributions to stream carbon </w:t>
      </w:r>
      <w:r>
        <w:rPr>
          <w:rFonts w:ascii="Arial" w:hAnsi="Arial" w:cs="Arial"/>
        </w:rPr>
        <w:t>is</w:t>
      </w:r>
      <w:r w:rsidRPr="00020C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small</w:t>
      </w:r>
      <w:r w:rsidRPr="00020CE8">
        <w:rPr>
          <w:rFonts w:ascii="Arial" w:hAnsi="Arial" w:cs="Arial"/>
        </w:rPr>
        <w:t xml:space="preserve">. </w:t>
      </w:r>
    </w:p>
    <w:p w14:paraId="5F38F0C4" w14:textId="4884483C" w:rsidR="00020CE8" w:rsidRPr="00020CE8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t>Only 20% of total stream carbon is sourced by GIWs, with the remainder assumed to come from the riparian zone.</w:t>
      </w:r>
    </w:p>
    <w:p w14:paraId="04D01A74" w14:textId="7C7A20DA" w:rsidR="00020CE8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lastRenderedPageBreak/>
        <w:t xml:space="preserve">These studies, though useful for finite carbon budgeting, </w:t>
      </w:r>
      <w:r w:rsidR="000339D1">
        <w:rPr>
          <w:rFonts w:ascii="Arial" w:hAnsi="Arial" w:cs="Arial"/>
        </w:rPr>
        <w:t>undermine</w:t>
      </w:r>
      <w:r w:rsidRPr="00020CE8">
        <w:rPr>
          <w:rFonts w:ascii="Arial" w:hAnsi="Arial" w:cs="Arial"/>
        </w:rPr>
        <w:t xml:space="preserve"> GIWs' role in global carbon cycling by (1) sampling from overland, intermittent flow paths while excluding subsurface export, and (</w:t>
      </w:r>
      <w:r>
        <w:rPr>
          <w:rFonts w:ascii="Arial" w:hAnsi="Arial" w:cs="Arial"/>
        </w:rPr>
        <w:t>2</w:t>
      </w:r>
      <w:r w:rsidRPr="00020CE8">
        <w:rPr>
          <w:rFonts w:ascii="Arial" w:hAnsi="Arial" w:cs="Arial"/>
        </w:rPr>
        <w:t>) failing to interrogate GIWs' influence on watershed-level carbon export.</w:t>
      </w:r>
    </w:p>
    <w:p w14:paraId="6B39E11D" w14:textId="77777777" w:rsidR="000339D1" w:rsidRDefault="000339D1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39D1">
        <w:rPr>
          <w:rFonts w:ascii="Arial" w:hAnsi="Arial" w:cs="Arial"/>
        </w:rPr>
        <w:t>Despite model estimates, current research has not directly explored the cumulative impacts of landscape hydrology on carbon export, particularly concerning carbon cycling.</w:t>
      </w:r>
    </w:p>
    <w:p w14:paraId="72F88B7D" w14:textId="77777777" w:rsidR="000339D1" w:rsidRDefault="000339D1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39D1">
        <w:rPr>
          <w:rFonts w:ascii="Arial" w:hAnsi="Arial" w:cs="Arial"/>
        </w:rPr>
        <w:t xml:space="preserve">GIWs are known to modulate the surficial aquifer, providing a buffer against flow extremes, increasing watershed inundation and residence times, and fostering watershed connectivity. </w:t>
      </w:r>
    </w:p>
    <w:p w14:paraId="299044E0" w14:textId="77777777" w:rsidR="000339D1" w:rsidRDefault="000339D1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39D1">
        <w:rPr>
          <w:rFonts w:ascii="Arial" w:hAnsi="Arial" w:cs="Arial"/>
        </w:rPr>
        <w:t>These</w:t>
      </w:r>
      <w:r w:rsidRPr="000339D1">
        <w:rPr>
          <w:rFonts w:ascii="Arial" w:hAnsi="Arial" w:cs="Arial"/>
        </w:rPr>
        <w:t xml:space="preserve"> ecological</w:t>
      </w:r>
      <w:r w:rsidRPr="000339D1">
        <w:rPr>
          <w:rFonts w:ascii="Arial" w:hAnsi="Arial" w:cs="Arial"/>
        </w:rPr>
        <w:t xml:space="preserve"> functions of GIWs are integral to the broader energy and water dynamics within the “wetlandscape.” </w:t>
      </w:r>
    </w:p>
    <w:p w14:paraId="4CB26B5A" w14:textId="41C1286F" w:rsidR="000339D1" w:rsidRDefault="000339D1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39D1">
        <w:rPr>
          <w:rFonts w:ascii="Arial" w:hAnsi="Arial" w:cs="Arial"/>
        </w:rPr>
        <w:t>Energy exchange through the wetlandscape operates as a chain reaction: water and its contents runoff into GIWs, where it then diffuses into the surficial aquifer, which subsequently exports water to riparian wetlands and streams as baseflow.</w:t>
      </w:r>
    </w:p>
    <w:p w14:paraId="304FB7F6" w14:textId="02B44B81" w:rsidR="001E36B5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t xml:space="preserve">The surficial aquifer </w:t>
      </w:r>
      <w:r w:rsidR="000339D1">
        <w:rPr>
          <w:rFonts w:ascii="Arial" w:hAnsi="Arial" w:cs="Arial"/>
        </w:rPr>
        <w:t xml:space="preserve">is </w:t>
      </w:r>
      <w:r w:rsidRPr="00020CE8">
        <w:rPr>
          <w:rFonts w:ascii="Arial" w:hAnsi="Arial" w:cs="Arial"/>
        </w:rPr>
        <w:t xml:space="preserve">the </w:t>
      </w:r>
      <w:r w:rsidR="000339D1" w:rsidRPr="00020CE8">
        <w:rPr>
          <w:rFonts w:ascii="Arial" w:hAnsi="Arial" w:cs="Arial"/>
        </w:rPr>
        <w:t>wetlandscape</w:t>
      </w:r>
      <w:r w:rsidR="000339D1" w:rsidRPr="00020CE8">
        <w:rPr>
          <w:rFonts w:ascii="Arial" w:hAnsi="Arial" w:cs="Arial"/>
        </w:rPr>
        <w:t xml:space="preserve"> </w:t>
      </w:r>
      <w:r w:rsidRPr="00020CE8">
        <w:rPr>
          <w:rFonts w:ascii="Arial" w:hAnsi="Arial" w:cs="Arial"/>
        </w:rPr>
        <w:t>transport</w:t>
      </w:r>
      <w:r w:rsidR="0085496D">
        <w:rPr>
          <w:rFonts w:ascii="Arial" w:hAnsi="Arial" w:cs="Arial"/>
        </w:rPr>
        <w:t>-</w:t>
      </w:r>
      <w:r w:rsidRPr="00020CE8">
        <w:rPr>
          <w:rFonts w:ascii="Arial" w:hAnsi="Arial" w:cs="Arial"/>
        </w:rPr>
        <w:t>network</w:t>
      </w:r>
      <w:r w:rsidR="000339D1">
        <w:rPr>
          <w:rFonts w:ascii="Arial" w:hAnsi="Arial" w:cs="Arial"/>
        </w:rPr>
        <w:t xml:space="preserve"> </w:t>
      </w:r>
      <w:r w:rsidRPr="00020CE8">
        <w:rPr>
          <w:rFonts w:ascii="Arial" w:hAnsi="Arial" w:cs="Arial"/>
        </w:rPr>
        <w:t xml:space="preserve">while GIWs serve as the </w:t>
      </w:r>
      <w:r w:rsidR="000339D1">
        <w:rPr>
          <w:rFonts w:ascii="Arial" w:hAnsi="Arial" w:cs="Arial"/>
        </w:rPr>
        <w:t>“</w:t>
      </w:r>
      <w:r w:rsidRPr="00020CE8">
        <w:rPr>
          <w:rFonts w:ascii="Arial" w:hAnsi="Arial" w:cs="Arial"/>
        </w:rPr>
        <w:t>capacitors</w:t>
      </w:r>
      <w:r w:rsidR="000339D1">
        <w:rPr>
          <w:rFonts w:ascii="Arial" w:hAnsi="Arial" w:cs="Arial"/>
        </w:rPr>
        <w:t>”</w:t>
      </w:r>
      <w:r w:rsidRPr="00020CE8">
        <w:rPr>
          <w:rFonts w:ascii="Arial" w:hAnsi="Arial" w:cs="Arial"/>
        </w:rPr>
        <w:t xml:space="preserve">. </w:t>
      </w:r>
    </w:p>
    <w:p w14:paraId="2FCEE39E" w14:textId="77777777" w:rsidR="001E36B5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t>These interactions dictate downstream baseflow, surface-groundwater exchange, watershed inundation, and carbon export.</w:t>
      </w:r>
    </w:p>
    <w:p w14:paraId="0327ECFB" w14:textId="77777777" w:rsidR="001E36B5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t xml:space="preserve"> Even as soils dry, GIWs can sustain the surficial aquifer and its streams into the early seasons of drought. </w:t>
      </w:r>
    </w:p>
    <w:p w14:paraId="3E46C7FC" w14:textId="2EFEE1C4" w:rsidR="008B04EC" w:rsidRPr="008B04EC" w:rsidRDefault="00020CE8" w:rsidP="00020CE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0CE8">
        <w:rPr>
          <w:rFonts w:ascii="Arial" w:hAnsi="Arial" w:cs="Arial"/>
        </w:rPr>
        <w:t>The longer the watershed remains inundated, the greater the carbon storage (in wetlands) and export potential (to streams).</w:t>
      </w:r>
    </w:p>
    <w:p w14:paraId="4C161566" w14:textId="77777777" w:rsidR="00B82F18" w:rsidRDefault="00B82F18" w:rsidP="00772EFF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75010813" w14:textId="57DB56D3" w:rsidR="00772EFF" w:rsidRPr="001E36B5" w:rsidRDefault="00772EFF" w:rsidP="001E36B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72EFF">
        <w:rPr>
          <w:rFonts w:ascii="Arial" w:hAnsi="Arial" w:cs="Arial"/>
        </w:rPr>
        <w:t xml:space="preserve">For the third chapter of my dissertation, I will estimate </w:t>
      </w:r>
      <w:r w:rsidR="001E36B5">
        <w:rPr>
          <w:rFonts w:ascii="Arial" w:hAnsi="Arial" w:cs="Arial"/>
        </w:rPr>
        <w:t>both direct and indirect</w:t>
      </w:r>
      <w:r w:rsidRPr="00772EFF">
        <w:rPr>
          <w:rFonts w:ascii="Arial" w:hAnsi="Arial" w:cs="Arial"/>
        </w:rPr>
        <w:t xml:space="preserve"> carbon contributions from </w:t>
      </w:r>
      <w:r w:rsidR="001E36B5">
        <w:rPr>
          <w:rFonts w:ascii="Arial" w:hAnsi="Arial" w:cs="Arial"/>
        </w:rPr>
        <w:t>GIWs</w:t>
      </w:r>
      <w:r w:rsidRPr="00772EFF">
        <w:rPr>
          <w:rFonts w:ascii="Arial" w:hAnsi="Arial" w:cs="Arial"/>
        </w:rPr>
        <w:t xml:space="preserve"> to streams by longitudinally sampling for DIC, DOC, and POC from three BEF streams within basins of various wetland densities. Thus far in my PhD, I will have explored stream carbon temporal dynamics and RC fluxes in fluctuating hydrologic settings. By coupling my longitudinal sampling results with the findings from Chapters 1 and 2, I can isolate the influence of isolated wetlands. Assuming RC fluxes and stream productivity responses to fluctuating discharge are homogeneous throughout the reach, I can investigate how nearby </w:t>
      </w:r>
      <w:r w:rsidR="001E36B5">
        <w:rPr>
          <w:rFonts w:ascii="Arial" w:hAnsi="Arial" w:cs="Arial"/>
        </w:rPr>
        <w:t>GIWs</w:t>
      </w:r>
      <w:r w:rsidRPr="00772EFF">
        <w:rPr>
          <w:rFonts w:ascii="Arial" w:hAnsi="Arial" w:cs="Arial"/>
        </w:rPr>
        <w:t xml:space="preserve"> influence stream carbon as water </w:t>
      </w:r>
      <w:r>
        <w:rPr>
          <w:rFonts w:ascii="Arial" w:hAnsi="Arial" w:cs="Arial"/>
        </w:rPr>
        <w:t>accumulates</w:t>
      </w:r>
      <w:r w:rsidRPr="00772EFF">
        <w:rPr>
          <w:rFonts w:ascii="Arial" w:hAnsi="Arial" w:cs="Arial"/>
        </w:rPr>
        <w:t xml:space="preserve"> downstream. </w:t>
      </w:r>
      <w:r>
        <w:rPr>
          <w:rFonts w:ascii="Arial" w:hAnsi="Arial" w:cs="Arial"/>
        </w:rPr>
        <w:t>S</w:t>
      </w:r>
      <w:r w:rsidRPr="00772EFF">
        <w:rPr>
          <w:rFonts w:ascii="Arial" w:hAnsi="Arial" w:cs="Arial"/>
        </w:rPr>
        <w:t xml:space="preserve">tudies have directly explored </w:t>
      </w:r>
      <w:r w:rsidR="001E36B5">
        <w:rPr>
          <w:rFonts w:ascii="Arial" w:hAnsi="Arial" w:cs="Arial"/>
        </w:rPr>
        <w:t xml:space="preserve">GIW </w:t>
      </w:r>
      <w:r w:rsidRPr="00772EFF">
        <w:rPr>
          <w:rFonts w:ascii="Arial" w:hAnsi="Arial" w:cs="Arial"/>
        </w:rPr>
        <w:t xml:space="preserve">carbon contributions, and none have included observed RC fluxes </w:t>
      </w:r>
      <w:r>
        <w:rPr>
          <w:rFonts w:ascii="Arial" w:hAnsi="Arial" w:cs="Arial"/>
        </w:rPr>
        <w:t>along with</w:t>
      </w:r>
      <w:r w:rsidRPr="00772EFF">
        <w:rPr>
          <w:rFonts w:ascii="Arial" w:hAnsi="Arial" w:cs="Arial"/>
        </w:rPr>
        <w:t xml:space="preserve"> stream metabolism </w:t>
      </w:r>
      <w:r>
        <w:rPr>
          <w:rFonts w:ascii="Arial" w:hAnsi="Arial" w:cs="Arial"/>
        </w:rPr>
        <w:t>models</w:t>
      </w:r>
      <w:r w:rsidRPr="00772EFF">
        <w:rPr>
          <w:rFonts w:ascii="Arial" w:hAnsi="Arial" w:cs="Arial"/>
        </w:rPr>
        <w:t>.</w:t>
      </w:r>
    </w:p>
    <w:p w14:paraId="439FC90C" w14:textId="307A778D" w:rsidR="00772EFF" w:rsidRPr="00772EFF" w:rsidRDefault="00772EFF" w:rsidP="00772EF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72EFF">
        <w:rPr>
          <w:rFonts w:ascii="Arial" w:hAnsi="Arial" w:cs="Arial"/>
        </w:rPr>
        <w:t xml:space="preserve">(1) I hypothesize that each stream will gain carbon, increasing in DIC, DOC, and POC as water flows downstream. Although I expect depressional wetlands to contribute to the stream carbon, (2) I hypothesize the RC will remain the dominant carbon source. However, during flooded conditions, (3) I anticipate the </w:t>
      </w:r>
      <w:r w:rsidRPr="00772EFF">
        <w:rPr>
          <w:rFonts w:ascii="Arial" w:hAnsi="Arial" w:cs="Arial"/>
        </w:rPr>
        <w:lastRenderedPageBreak/>
        <w:t xml:space="preserve">wetland contribution will be greatest due to a shallower surficial aquifer and overland flow. Additionally, (4) I expect streams in watersheds with greater wetland </w:t>
      </w:r>
      <w:r w:rsidR="0085496D">
        <w:rPr>
          <w:rFonts w:ascii="Arial" w:hAnsi="Arial" w:cs="Arial"/>
        </w:rPr>
        <w:t>areas</w:t>
      </w:r>
      <w:r w:rsidRPr="00772EFF">
        <w:rPr>
          <w:rFonts w:ascii="Arial" w:hAnsi="Arial" w:cs="Arial"/>
        </w:rPr>
        <w:t xml:space="preserve"> to have higher total carbon (TC) concentrations across wetland, RC, and stream boundaries.</w:t>
      </w:r>
    </w:p>
    <w:p w14:paraId="3AF7BBF4" w14:textId="77777777" w:rsidR="0085496D" w:rsidRDefault="0085496D" w:rsidP="0085496D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52C7559A" w14:textId="01ABE834" w:rsidR="00772EFF" w:rsidRPr="0085496D" w:rsidRDefault="00772EFF" w:rsidP="008549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5496D">
        <w:rPr>
          <w:rFonts w:ascii="Arial" w:hAnsi="Arial" w:cs="Arial"/>
        </w:rPr>
        <w:t xml:space="preserve">Using the results from my entire dissertation, I aim to holistically map stream carbon sources and fluxes, allowing me to draw detailed inferences on </w:t>
      </w:r>
      <w:proofErr w:type="gramStart"/>
      <w:r w:rsidRPr="0085496D">
        <w:rPr>
          <w:rFonts w:ascii="Arial" w:hAnsi="Arial" w:cs="Arial"/>
        </w:rPr>
        <w:t>low-relief</w:t>
      </w:r>
      <w:proofErr w:type="gramEnd"/>
      <w:r w:rsidRPr="0085496D">
        <w:rPr>
          <w:rFonts w:ascii="Arial" w:hAnsi="Arial" w:cs="Arial"/>
        </w:rPr>
        <w:t>, “wetlandscape” carbon budgets. By testing these hypotheses and developing a carbon budget, I aspire for this chapter to offer both an improved understanding of low-relief carbon cycling and practical applications. Specifically, my objective for Chapter 3 is to inform management decisions on how to optimize landscape hydrology for carbon storage.</w:t>
      </w:r>
    </w:p>
    <w:sectPr w:rsidR="00772EFF" w:rsidRPr="0085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344BB"/>
    <w:multiLevelType w:val="hybridMultilevel"/>
    <w:tmpl w:val="E956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C297F"/>
    <w:multiLevelType w:val="hybridMultilevel"/>
    <w:tmpl w:val="4C36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2521A"/>
    <w:multiLevelType w:val="hybridMultilevel"/>
    <w:tmpl w:val="D29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9926">
    <w:abstractNumId w:val="0"/>
  </w:num>
  <w:num w:numId="2" w16cid:durableId="1964652646">
    <w:abstractNumId w:val="2"/>
  </w:num>
  <w:num w:numId="3" w16cid:durableId="75367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A7"/>
    <w:rsid w:val="00013AEF"/>
    <w:rsid w:val="00020CE8"/>
    <w:rsid w:val="000339D1"/>
    <w:rsid w:val="00036B88"/>
    <w:rsid w:val="00070D87"/>
    <w:rsid w:val="000B177D"/>
    <w:rsid w:val="000E2BC7"/>
    <w:rsid w:val="001C3456"/>
    <w:rsid w:val="001E36B5"/>
    <w:rsid w:val="00227F6E"/>
    <w:rsid w:val="002621AB"/>
    <w:rsid w:val="002B0A6F"/>
    <w:rsid w:val="002D28E4"/>
    <w:rsid w:val="002D3F12"/>
    <w:rsid w:val="002F43F4"/>
    <w:rsid w:val="00330644"/>
    <w:rsid w:val="003F0174"/>
    <w:rsid w:val="00493470"/>
    <w:rsid w:val="00530E5C"/>
    <w:rsid w:val="00586541"/>
    <w:rsid w:val="005C4B69"/>
    <w:rsid w:val="005F48EF"/>
    <w:rsid w:val="006F75C8"/>
    <w:rsid w:val="007118FC"/>
    <w:rsid w:val="007472A7"/>
    <w:rsid w:val="00772EFF"/>
    <w:rsid w:val="008229A3"/>
    <w:rsid w:val="0085496D"/>
    <w:rsid w:val="00864D70"/>
    <w:rsid w:val="008B04EC"/>
    <w:rsid w:val="008B2629"/>
    <w:rsid w:val="009D0CCC"/>
    <w:rsid w:val="00AE1957"/>
    <w:rsid w:val="00B64201"/>
    <w:rsid w:val="00B6691D"/>
    <w:rsid w:val="00B82F18"/>
    <w:rsid w:val="00C0746A"/>
    <w:rsid w:val="00C924A8"/>
    <w:rsid w:val="00CF70AD"/>
    <w:rsid w:val="00DA6019"/>
    <w:rsid w:val="00E04A6C"/>
    <w:rsid w:val="00EE1F8F"/>
    <w:rsid w:val="00F0648E"/>
    <w:rsid w:val="00F97D19"/>
    <w:rsid w:val="00FA4D3D"/>
    <w:rsid w:val="00F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F525"/>
  <w15:chartTrackingRefBased/>
  <w15:docId w15:val="{5141A955-4AB1-4ED3-8D5F-0715509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8</cp:revision>
  <dcterms:created xsi:type="dcterms:W3CDTF">2024-07-22T19:15:00Z</dcterms:created>
  <dcterms:modified xsi:type="dcterms:W3CDTF">2024-07-23T22:12:00Z</dcterms:modified>
</cp:coreProperties>
</file>