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23F9" w14:textId="7A8205AB" w:rsidR="006D7111" w:rsidRDefault="006D7111">
      <w:r>
        <w:t>A solution for resolving carbon budget discrepancies is conducting more detailed observational studies across a many unique environments</w:t>
      </w:r>
    </w:p>
    <w:p w14:paraId="36A3DF69" w14:textId="57B0C743" w:rsidR="00FE567D" w:rsidRDefault="00FE567D">
      <w:r>
        <w:t>An accumulation of the all the chapter to inform a BEF carbon budget</w:t>
      </w:r>
    </w:p>
    <w:sectPr w:rsidR="00FE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11"/>
    <w:rsid w:val="006D7111"/>
    <w:rsid w:val="00D66B3A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A093"/>
  <w15:chartTrackingRefBased/>
  <w15:docId w15:val="{BD6A53CA-1218-4362-9DFD-8DCE09F8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1</cp:revision>
  <dcterms:created xsi:type="dcterms:W3CDTF">2024-07-17T14:17:00Z</dcterms:created>
  <dcterms:modified xsi:type="dcterms:W3CDTF">2024-07-17T16:23:00Z</dcterms:modified>
</cp:coreProperties>
</file>