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5077" w14:textId="77777777" w:rsidR="00332B93" w:rsidRDefault="00332B93">
      <w:pPr>
        <w:rPr>
          <w:rFonts w:ascii="Arial" w:hAnsi="Arial" w:cs="Arial"/>
        </w:rPr>
      </w:pPr>
      <w:r>
        <w:rPr>
          <w:rFonts w:ascii="Arial" w:hAnsi="Arial" w:cs="Arial"/>
        </w:rPr>
        <w:t>PhD Prospectus: Carbon fluxes and fates in the Flatwoods of North Florida</w:t>
      </w:r>
    </w:p>
    <w:p w14:paraId="4DD6092D" w14:textId="37BFFE11" w:rsidR="006B1CAE" w:rsidRDefault="00332B93" w:rsidP="00332B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Inland waters- streams, </w:t>
      </w:r>
      <w:proofErr w:type="spellStart"/>
      <w:proofErr w:type="gramStart"/>
      <w:r>
        <w:rPr>
          <w:rFonts w:ascii="Arial" w:hAnsi="Arial" w:cs="Arial"/>
        </w:rPr>
        <w:t>river,lakes</w:t>
      </w:r>
      <w:proofErr w:type="spellEnd"/>
      <w:proofErr w:type="gramEnd"/>
      <w:r>
        <w:rPr>
          <w:rFonts w:ascii="Arial" w:hAnsi="Arial" w:cs="Arial"/>
        </w:rPr>
        <w:t>, ponds, and wetlands- are integral to global carbon cycling, functioning as the drainage network for the terrestrial biosphere.</w:t>
      </w:r>
    </w:p>
    <w:p w14:paraId="5410AB85" w14:textId="2F1B4548" w:rsidR="002B4272" w:rsidRPr="002B4272" w:rsidRDefault="00332B93" w:rsidP="002B427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Despite only encompassing 1% of Earth’s area, inland waters are disproportionally active with in the carbon cycle.</w:t>
      </w:r>
    </w:p>
    <w:p w14:paraId="30DC3E1B" w14:textId="1E2A500E" w:rsidR="002B4272" w:rsidRDefault="00332B93" w:rsidP="00332B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Of the 4.5 Pg-C/year delivered to streams from the terrestrial landscape, only </w:t>
      </w:r>
      <w:r w:rsidR="002B4272">
        <w:rPr>
          <w:rFonts w:ascii="Arial" w:hAnsi="Arial" w:cs="Arial"/>
        </w:rPr>
        <w:t xml:space="preserve">~20% (0.95 Pg-C/year) </w:t>
      </w:r>
      <w:proofErr w:type="gramStart"/>
      <w:r w:rsidR="002B4272">
        <w:rPr>
          <w:rFonts w:ascii="Arial" w:hAnsi="Arial" w:cs="Arial"/>
        </w:rPr>
        <w:t>returns</w:t>
      </w:r>
      <w:proofErr w:type="gramEnd"/>
      <w:r w:rsidR="002B4272">
        <w:rPr>
          <w:rFonts w:ascii="Arial" w:hAnsi="Arial" w:cs="Arial"/>
        </w:rPr>
        <w:t xml:space="preserve"> the oceans. </w:t>
      </w:r>
    </w:p>
    <w:p w14:paraId="2AABF478" w14:textId="1ED1E53B" w:rsidR="002B4272" w:rsidRDefault="002B4272" w:rsidP="00332B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other 80% is fated to settle in streams, either buried within sediment, mineralized, or degassed to the atmosphere.</w:t>
      </w:r>
    </w:p>
    <w:p w14:paraId="33314F0F" w14:textId="55B52926" w:rsidR="002B4272" w:rsidRPr="002B4272" w:rsidRDefault="002B4272" w:rsidP="00332B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4272">
        <w:rPr>
          <w:rFonts w:ascii="Arial" w:hAnsi="Arial" w:cs="Arial"/>
        </w:rPr>
        <w:t xml:space="preserve">The remainder discharged to the ocean is the byproduct aquatic </w:t>
      </w:r>
      <w:r w:rsidRPr="002B4272">
        <w:rPr>
          <w:rFonts w:ascii="Arial" w:eastAsia="Calibri" w:hAnsi="Arial" w:cs="Arial"/>
          <w:color w:val="000000" w:themeColor="text1"/>
        </w:rPr>
        <w:t xml:space="preserve">biogeochemical transformations and losses as water transitions </w:t>
      </w:r>
      <w:r>
        <w:rPr>
          <w:rFonts w:ascii="Arial" w:eastAsia="Calibri" w:hAnsi="Arial" w:cs="Arial"/>
          <w:color w:val="000000" w:themeColor="text1"/>
        </w:rPr>
        <w:t xml:space="preserve">from the terrestrial uplands to coastal marshes. </w:t>
      </w:r>
    </w:p>
    <w:p w14:paraId="5873C2D6" w14:textId="516049F8" w:rsidR="002B4272" w:rsidRPr="00777E42" w:rsidRDefault="00777E42" w:rsidP="00332B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eastAsia="Calibri" w:hAnsi="Arial" w:cs="Arial"/>
          <w:color w:val="000000" w:themeColor="text1"/>
        </w:rPr>
        <w:t xml:space="preserve">The </w:t>
      </w:r>
      <w:proofErr w:type="spellStart"/>
      <w:r>
        <w:rPr>
          <w:rFonts w:ascii="Arial" w:eastAsia="Calibri" w:hAnsi="Arial" w:cs="Arial"/>
          <w:color w:val="000000" w:themeColor="text1"/>
        </w:rPr>
        <w:t>globa</w:t>
      </w:r>
      <w:proofErr w:type="spellEnd"/>
      <w:r>
        <w:rPr>
          <w:rFonts w:ascii="Arial" w:eastAsia="Calibri" w:hAnsi="Arial" w:cs="Arial"/>
          <w:color w:val="000000" w:themeColor="text1"/>
        </w:rPr>
        <w:t xml:space="preserve"> carbon cycle and the hydrologic cycle are </w:t>
      </w:r>
      <w:proofErr w:type="spellStart"/>
      <w:r>
        <w:rPr>
          <w:rFonts w:ascii="Arial" w:eastAsia="Calibri" w:hAnsi="Arial" w:cs="Arial"/>
          <w:color w:val="000000" w:themeColor="text1"/>
        </w:rPr>
        <w:t>intrinisically</w:t>
      </w:r>
      <w:proofErr w:type="spellEnd"/>
      <w:r>
        <w:rPr>
          <w:rFonts w:ascii="Arial" w:eastAsia="Calibri" w:hAnsi="Arial" w:cs="Arial"/>
          <w:color w:val="000000" w:themeColor="text1"/>
        </w:rPr>
        <w:t xml:space="preserve"> coupled, and of the inland waters, streams and wetlands</w:t>
      </w:r>
      <w:proofErr w:type="gramStart"/>
      <w:r>
        <w:rPr>
          <w:rFonts w:ascii="Arial" w:eastAsia="Calibri" w:hAnsi="Arial" w:cs="Arial"/>
          <w:color w:val="000000" w:themeColor="text1"/>
        </w:rPr>
        <w:t>, in particular, play</w:t>
      </w:r>
      <w:proofErr w:type="gramEnd"/>
      <w:r>
        <w:rPr>
          <w:rFonts w:ascii="Arial" w:eastAsia="Calibri" w:hAnsi="Arial" w:cs="Arial"/>
          <w:color w:val="000000" w:themeColor="text1"/>
        </w:rPr>
        <w:t xml:space="preserve"> a vital role. </w:t>
      </w:r>
    </w:p>
    <w:p w14:paraId="5D9364BB" w14:textId="7A8C4BBF" w:rsidR="00777E42" w:rsidRPr="00777E42" w:rsidRDefault="00777E42" w:rsidP="00332B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eastAsia="Calibri" w:hAnsi="Arial" w:cs="Arial"/>
          <w:color w:val="000000" w:themeColor="text1"/>
        </w:rPr>
        <w:t xml:space="preserve"> </w:t>
      </w:r>
    </w:p>
    <w:p w14:paraId="66E0BE7F" w14:textId="0659C2E9" w:rsidR="00777E42" w:rsidRPr="00777E42" w:rsidRDefault="00777E42" w:rsidP="00332B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eastAsia="Calibri" w:hAnsi="Arial" w:cs="Arial"/>
          <w:color w:val="000000" w:themeColor="text1"/>
        </w:rPr>
        <w:t>Streams are the “active pipes” of the landscape, “plumbing” the terrestrial landscape</w:t>
      </w:r>
      <w:r w:rsidR="00861242">
        <w:rPr>
          <w:rFonts w:ascii="Arial" w:eastAsia="Calibri" w:hAnsi="Arial" w:cs="Arial"/>
          <w:color w:val="000000" w:themeColor="text1"/>
        </w:rPr>
        <w:t xml:space="preserve"> by </w:t>
      </w:r>
      <w:r>
        <w:rPr>
          <w:rFonts w:ascii="Arial" w:eastAsia="Calibri" w:hAnsi="Arial" w:cs="Arial"/>
          <w:color w:val="000000" w:themeColor="text1"/>
        </w:rPr>
        <w:t>transporting, storing, and transforming uphill litterfall and particulates.</w:t>
      </w:r>
    </w:p>
    <w:p w14:paraId="3DA19C20" w14:textId="6EC9067C" w:rsidR="00777E42" w:rsidRPr="00861242" w:rsidRDefault="00777E42" w:rsidP="00332B9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eastAsia="Calibri" w:hAnsi="Arial" w:cs="Arial"/>
          <w:color w:val="000000" w:themeColor="text1"/>
        </w:rPr>
        <w:t xml:space="preserve">The transfer of terrestrial C to streams and rivers is </w:t>
      </w:r>
      <w:r w:rsidR="00861242">
        <w:rPr>
          <w:rFonts w:ascii="Arial" w:eastAsia="Calibri" w:hAnsi="Arial" w:cs="Arial"/>
          <w:color w:val="000000" w:themeColor="text1"/>
        </w:rPr>
        <w:t>double</w:t>
      </w:r>
      <w:r>
        <w:rPr>
          <w:rFonts w:ascii="Arial" w:eastAsia="Calibri" w:hAnsi="Arial" w:cs="Arial"/>
          <w:color w:val="000000" w:themeColor="text1"/>
        </w:rPr>
        <w:t xml:space="preserve"> than</w:t>
      </w:r>
      <w:r w:rsidR="00861242">
        <w:rPr>
          <w:rFonts w:ascii="Arial" w:eastAsia="Calibri" w:hAnsi="Arial" w:cs="Arial"/>
          <w:color w:val="000000" w:themeColor="text1"/>
        </w:rPr>
        <w:t xml:space="preserve"> carbon delivered to oceans, yet stream CO2 degassing is roughly equal to terrestrial net ecosystem productivity. </w:t>
      </w:r>
    </w:p>
    <w:p w14:paraId="1789BEDC" w14:textId="1EECEF22" w:rsidR="00861242" w:rsidRPr="00C41CCB" w:rsidRDefault="00861242" w:rsidP="00C41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eastAsia="Calibri" w:hAnsi="Arial" w:cs="Arial"/>
          <w:color w:val="000000" w:themeColor="text1"/>
        </w:rPr>
        <w:t>The gap between delivered terrestrial carbon and total stream carbon is externally sourced</w:t>
      </w:r>
      <w:r w:rsidR="00C41CCB">
        <w:rPr>
          <w:rFonts w:ascii="Arial" w:eastAsia="Calibri" w:hAnsi="Arial" w:cs="Arial"/>
          <w:color w:val="000000" w:themeColor="text1"/>
        </w:rPr>
        <w:t xml:space="preserve">, likely from internal mineralization and groundwater degassing, </w:t>
      </w:r>
      <w:r>
        <w:rPr>
          <w:rFonts w:ascii="Arial" w:eastAsia="Calibri" w:hAnsi="Arial" w:cs="Arial"/>
          <w:color w:val="000000" w:themeColor="text1"/>
        </w:rPr>
        <w:t xml:space="preserve">but how much </w:t>
      </w:r>
      <w:r w:rsidR="00C41CCB">
        <w:rPr>
          <w:rFonts w:ascii="Arial" w:eastAsia="Calibri" w:hAnsi="Arial" w:cs="Arial"/>
          <w:color w:val="000000" w:themeColor="text1"/>
        </w:rPr>
        <w:t xml:space="preserve">and the temporal dynamics </w:t>
      </w:r>
      <w:r>
        <w:rPr>
          <w:rFonts w:ascii="Arial" w:eastAsia="Calibri" w:hAnsi="Arial" w:cs="Arial"/>
          <w:color w:val="000000" w:themeColor="text1"/>
        </w:rPr>
        <w:t xml:space="preserve">is largely </w:t>
      </w:r>
      <w:r w:rsidR="00C41CCB">
        <w:rPr>
          <w:rFonts w:ascii="Arial" w:eastAsia="Calibri" w:hAnsi="Arial" w:cs="Arial"/>
          <w:color w:val="000000" w:themeColor="text1"/>
        </w:rPr>
        <w:t>unknown,</w:t>
      </w:r>
      <w:r>
        <w:rPr>
          <w:rFonts w:ascii="Arial" w:eastAsia="Calibri" w:hAnsi="Arial" w:cs="Arial"/>
          <w:color w:val="000000" w:themeColor="text1"/>
        </w:rPr>
        <w:t xml:space="preserve"> and </w:t>
      </w:r>
      <w:r w:rsidR="00C41CCB">
        <w:rPr>
          <w:rFonts w:ascii="Arial" w:eastAsia="Calibri" w:hAnsi="Arial" w:cs="Arial"/>
          <w:color w:val="000000" w:themeColor="text1"/>
        </w:rPr>
        <w:t xml:space="preserve">estimates are </w:t>
      </w:r>
      <w:r>
        <w:rPr>
          <w:rFonts w:ascii="Arial" w:eastAsia="Calibri" w:hAnsi="Arial" w:cs="Arial"/>
          <w:color w:val="000000" w:themeColor="text1"/>
        </w:rPr>
        <w:t xml:space="preserve">preliminary. </w:t>
      </w:r>
      <w:r w:rsidRPr="00C41CCB">
        <w:rPr>
          <w:rFonts w:ascii="Arial" w:eastAsia="Calibri" w:hAnsi="Arial" w:cs="Arial"/>
          <w:color w:val="000000" w:themeColor="text1"/>
        </w:rPr>
        <w:t xml:space="preserve">More CO2 is </w:t>
      </w:r>
      <w:proofErr w:type="spellStart"/>
      <w:r w:rsidRPr="00C41CCB">
        <w:rPr>
          <w:rFonts w:ascii="Arial" w:eastAsia="Calibri" w:hAnsi="Arial" w:cs="Arial"/>
          <w:color w:val="000000" w:themeColor="text1"/>
        </w:rPr>
        <w:t>effluxed</w:t>
      </w:r>
      <w:proofErr w:type="spellEnd"/>
      <w:r w:rsidRPr="00C41CCB">
        <w:rPr>
          <w:rFonts w:ascii="Arial" w:eastAsia="Calibri" w:hAnsi="Arial" w:cs="Arial"/>
          <w:color w:val="000000" w:themeColor="text1"/>
        </w:rPr>
        <w:t xml:space="preserve"> from flowing waters </w:t>
      </w:r>
      <w:r w:rsidR="00C41CCB" w:rsidRPr="00C41CCB">
        <w:rPr>
          <w:rFonts w:ascii="Arial" w:eastAsia="Calibri" w:hAnsi="Arial" w:cs="Arial"/>
          <w:color w:val="000000" w:themeColor="text1"/>
        </w:rPr>
        <w:t>than</w:t>
      </w:r>
      <w:r w:rsidRPr="00C41CCB">
        <w:rPr>
          <w:rFonts w:ascii="Arial" w:eastAsia="Calibri" w:hAnsi="Arial" w:cs="Arial"/>
          <w:color w:val="000000" w:themeColor="text1"/>
        </w:rPr>
        <w:t xml:space="preserve"> can be accounted for by stream metabolism alone</w:t>
      </w:r>
      <w:r w:rsidR="00C41CCB">
        <w:rPr>
          <w:rFonts w:ascii="Arial" w:eastAsia="Calibri" w:hAnsi="Arial" w:cs="Arial"/>
          <w:color w:val="000000" w:themeColor="text1"/>
        </w:rPr>
        <w:t xml:space="preserve">. </w:t>
      </w:r>
      <w:r w:rsidRPr="00C41CCB">
        <w:rPr>
          <w:rFonts w:ascii="Arial" w:eastAsia="Calibri" w:hAnsi="Arial" w:cs="Arial"/>
          <w:color w:val="000000" w:themeColor="text1"/>
        </w:rPr>
        <w:t xml:space="preserve"> </w:t>
      </w:r>
    </w:p>
    <w:p w14:paraId="1DDADEED" w14:textId="469AD661" w:rsidR="00C41CCB" w:rsidRPr="00ED092E" w:rsidRDefault="00C41CCB" w:rsidP="00C41CCB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O</w:t>
      </w:r>
      <w:r w:rsidRPr="00ED092E">
        <w:rPr>
          <w:rFonts w:ascii="Arial" w:hAnsi="Arial" w:cs="Arial"/>
          <w:color w:val="0D0D0D"/>
          <w:shd w:val="clear" w:color="auto" w:fill="FFFFFF"/>
        </w:rPr>
        <w:t>f the 3.4 Pg-C/year produced by terrestrial landscapes, 0.6 Pg-C/year is buried in sediment, 0.3 Pg-C/year is photosynthesized, and 0.95 Pg-C/year is transported to oceans, leaving a significant 1.5 Pg-C/year gap</w:t>
      </w:r>
      <w:r w:rsidRPr="00ED092E">
        <w:rPr>
          <w:rFonts w:ascii="Arial" w:hAnsi="Arial" w:cs="Arial"/>
          <w:shd w:val="clear" w:color="auto" w:fill="FFFFFF"/>
        </w:rPr>
        <w:t>.</w:t>
      </w:r>
    </w:p>
    <w:p w14:paraId="1A7F39D8" w14:textId="6C879EB3" w:rsidR="00C41CCB" w:rsidRDefault="00704450" w:rsidP="00C41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59990E1" w14:textId="78BE77FD" w:rsidR="00704450" w:rsidRDefault="00704450" w:rsidP="00C41CC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Wetlands, in contrast, are “capacitors” for the watershed serving as storage reservoirs, water, nutrients, and carbon. </w:t>
      </w:r>
    </w:p>
    <w:p w14:paraId="1A778E3F" w14:textId="3181044C" w:rsidR="00704450" w:rsidRPr="00704450" w:rsidRDefault="00704450" w:rsidP="0070445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Functionally unique, wetland emergent vegetation productivity and carbon burial offset wetland greenhouse gas (GHG) </w:t>
      </w:r>
      <w:proofErr w:type="gramStart"/>
      <w:r>
        <w:rPr>
          <w:rFonts w:ascii="Arial" w:hAnsi="Arial" w:cs="Arial"/>
        </w:rPr>
        <w:t>emissions, and</w:t>
      </w:r>
      <w:proofErr w:type="gramEnd"/>
      <w:r>
        <w:rPr>
          <w:rFonts w:ascii="Arial" w:hAnsi="Arial" w:cs="Arial"/>
        </w:rPr>
        <w:t xml:space="preserve"> are considered global carbon sinks.</w:t>
      </w:r>
    </w:p>
    <w:p w14:paraId="2631A91C" w14:textId="15AD4509" w:rsidR="00704450" w:rsidRDefault="00704450" w:rsidP="0070445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 majority of</w:t>
      </w:r>
      <w:proofErr w:type="gramEnd"/>
      <w:r>
        <w:rPr>
          <w:rFonts w:ascii="Arial" w:hAnsi="Arial" w:cs="Arial"/>
        </w:rPr>
        <w:t xml:space="preserve"> wetland carbon is buried while the remainder is either </w:t>
      </w:r>
      <w:r w:rsidR="001C7384">
        <w:rPr>
          <w:rFonts w:ascii="Arial" w:hAnsi="Arial" w:cs="Arial"/>
        </w:rPr>
        <w:t xml:space="preserve">assimilated by emergent vegetation, </w:t>
      </w:r>
      <w:r>
        <w:rPr>
          <w:rFonts w:ascii="Arial" w:hAnsi="Arial" w:cs="Arial"/>
        </w:rPr>
        <w:t xml:space="preserve">mineralized or transported downstream through lateral subsurface or surface (“spill-and-fill”) flow paths. </w:t>
      </w:r>
    </w:p>
    <w:p w14:paraId="00AC0E6D" w14:textId="21131DAE" w:rsidR="00704450" w:rsidRPr="00704450" w:rsidRDefault="00704450" w:rsidP="0070445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Wetlands are considered an infinite source of stream carbon, and the potential to be “carbon pumps.”</w:t>
      </w:r>
    </w:p>
    <w:p w14:paraId="5A076428" w14:textId="0794C412" w:rsidR="00704450" w:rsidRDefault="00704450" w:rsidP="0070445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Through the streams downstream export of carbon out of the watershed, and wetland lateral flux of carbon, stream-wetland coupling form a transport network with wetland acting as stream headwaters, and stream facilitating overland connectivity between upstream and downstream wetlands, in or out of the watershed. </w:t>
      </w:r>
    </w:p>
    <w:p w14:paraId="3F2B6787" w14:textId="5088BC27" w:rsidR="00704450" w:rsidRDefault="00704450" w:rsidP="0070445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This exchange of water as it passes through each ecosystem creates the distinct biogeochemical fingerprint of the landscape.</w:t>
      </w:r>
    </w:p>
    <w:p w14:paraId="2D0BDAA1" w14:textId="092BA9A8" w:rsidR="00704450" w:rsidRPr="00704450" w:rsidRDefault="00704450" w:rsidP="0070445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However, estimates of wetland contributions to stream carbon </w:t>
      </w:r>
      <w:r w:rsidR="001C7384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preliminary and debatable. </w:t>
      </w:r>
    </w:p>
    <w:p w14:paraId="654338FD" w14:textId="61C2EFC8" w:rsidR="0073376F" w:rsidRPr="000B7C8C" w:rsidRDefault="001C7384" w:rsidP="000B7C8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Wetlands are the intermediates between the terrestrial and aquatic, and as a </w:t>
      </w:r>
      <w:r w:rsidR="000B7C8C">
        <w:rPr>
          <w:rFonts w:ascii="Arial" w:hAnsi="Arial" w:cs="Arial"/>
        </w:rPr>
        <w:t>result</w:t>
      </w:r>
      <w:r>
        <w:rPr>
          <w:rFonts w:ascii="Arial" w:hAnsi="Arial" w:cs="Arial"/>
        </w:rPr>
        <w:t xml:space="preserve">, often exempt from </w:t>
      </w:r>
      <w:r w:rsidR="0073376F">
        <w:rPr>
          <w:rFonts w:ascii="Arial" w:hAnsi="Arial" w:cs="Arial"/>
        </w:rPr>
        <w:t xml:space="preserve">carbon budgets. </w:t>
      </w:r>
    </w:p>
    <w:p w14:paraId="7DDFB288" w14:textId="1D7AB052" w:rsidR="0073376F" w:rsidRDefault="0073376F" w:rsidP="007337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necessity for global carbon budgeting is to identify and quantify the significant players and the key exchanges among them. </w:t>
      </w:r>
    </w:p>
    <w:p w14:paraId="09332F53" w14:textId="52C52606" w:rsidR="000B7C8C" w:rsidRDefault="000B7C8C" w:rsidP="000B7C8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Improving our understanding of the global carbon budget, and how aquatic pathways </w:t>
      </w:r>
      <w:r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these </w:t>
      </w:r>
      <w:r>
        <w:rPr>
          <w:rFonts w:ascii="Arial" w:hAnsi="Arial" w:cs="Arial"/>
        </w:rPr>
        <w:t>players can constrain and improve carbon flux estimations,</w:t>
      </w:r>
      <w:r>
        <w:rPr>
          <w:rFonts w:ascii="Arial" w:hAnsi="Arial" w:cs="Arial"/>
        </w:rPr>
        <w:t xml:space="preserve"> provid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insight into climate change mitigation, </w:t>
      </w:r>
      <w:r>
        <w:rPr>
          <w:rFonts w:ascii="Arial" w:hAnsi="Arial" w:cs="Arial"/>
        </w:rPr>
        <w:t xml:space="preserve">better </w:t>
      </w:r>
      <w:r>
        <w:rPr>
          <w:rFonts w:ascii="Arial" w:hAnsi="Arial" w:cs="Arial"/>
        </w:rPr>
        <w:t xml:space="preserve">CO2 management, and </w:t>
      </w:r>
      <w:r>
        <w:rPr>
          <w:rFonts w:ascii="Arial" w:hAnsi="Arial" w:cs="Arial"/>
        </w:rPr>
        <w:t xml:space="preserve">predict </w:t>
      </w:r>
      <w:r>
        <w:rPr>
          <w:rFonts w:ascii="Arial" w:hAnsi="Arial" w:cs="Arial"/>
        </w:rPr>
        <w:t xml:space="preserve">feedback </w:t>
      </w:r>
      <w:r>
        <w:rPr>
          <w:rFonts w:ascii="Arial" w:hAnsi="Arial" w:cs="Arial"/>
        </w:rPr>
        <w:t>loops</w:t>
      </w:r>
      <w:r>
        <w:rPr>
          <w:rFonts w:ascii="Arial" w:hAnsi="Arial" w:cs="Arial"/>
        </w:rPr>
        <w:t>.</w:t>
      </w:r>
    </w:p>
    <w:p w14:paraId="29F586E7" w14:textId="77777777" w:rsidR="000B7C8C" w:rsidRDefault="000B7C8C" w:rsidP="000B7C8C">
      <w:pPr>
        <w:pStyle w:val="ListParagraph"/>
        <w:numPr>
          <w:ilvl w:val="0"/>
          <w:numId w:val="6"/>
        </w:numPr>
        <w:rPr>
          <w:rFonts w:ascii="Arial" w:hAnsi="Arial" w:cs="Arial"/>
        </w:rPr>
      </w:pPr>
    </w:p>
    <w:p w14:paraId="6F4A2CC2" w14:textId="6A230F75" w:rsidR="000B7C8C" w:rsidRDefault="00B80CB9" w:rsidP="000B7C8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As for the “stream CO2 gap,” s</w:t>
      </w:r>
      <w:r w:rsidR="000B7C8C" w:rsidRPr="000B7C8C">
        <w:rPr>
          <w:rFonts w:ascii="Arial" w:hAnsi="Arial" w:cs="Arial"/>
        </w:rPr>
        <w:t xml:space="preserve">ources and contributions by groundwater, transient soil storage, and wetlands are provisional and likely </w:t>
      </w:r>
      <w:r>
        <w:rPr>
          <w:rFonts w:ascii="Arial" w:hAnsi="Arial" w:cs="Arial"/>
        </w:rPr>
        <w:t>under-estimated</w:t>
      </w:r>
      <w:r w:rsidR="000B7C8C" w:rsidRPr="000B7C8C">
        <w:rPr>
          <w:rFonts w:ascii="Arial" w:hAnsi="Arial" w:cs="Arial"/>
        </w:rPr>
        <w:t>. Difficulties associated with delineating the extent of wetlands and flowing waters, namely headwater streams, and</w:t>
      </w:r>
      <w:r>
        <w:rPr>
          <w:rFonts w:ascii="Arial" w:hAnsi="Arial" w:cs="Arial"/>
        </w:rPr>
        <w:t xml:space="preserve"> the unknowns related to</w:t>
      </w:r>
      <w:r w:rsidR="000B7C8C" w:rsidRPr="000B7C8C">
        <w:rPr>
          <w:rFonts w:ascii="Arial" w:hAnsi="Arial" w:cs="Arial"/>
        </w:rPr>
        <w:t xml:space="preserve"> inland water processing</w:t>
      </w:r>
      <w:r>
        <w:rPr>
          <w:rFonts w:ascii="Arial" w:hAnsi="Arial" w:cs="Arial"/>
        </w:rPr>
        <w:t xml:space="preserve"> create keystone unknowns.</w:t>
      </w:r>
    </w:p>
    <w:p w14:paraId="202A72D2" w14:textId="614CC308" w:rsidR="00D852AD" w:rsidRPr="000B7C8C" w:rsidRDefault="00D852AD" w:rsidP="000B7C8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Few studies have observed the long-term temporal dynamics of streams</w:t>
      </w:r>
    </w:p>
    <w:sectPr w:rsidR="00D852AD" w:rsidRPr="000B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C7E48"/>
    <w:multiLevelType w:val="hybridMultilevel"/>
    <w:tmpl w:val="4BA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A5198"/>
    <w:multiLevelType w:val="hybridMultilevel"/>
    <w:tmpl w:val="FBE4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692"/>
    <w:multiLevelType w:val="hybridMultilevel"/>
    <w:tmpl w:val="8E84F8A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626235"/>
    <w:multiLevelType w:val="hybridMultilevel"/>
    <w:tmpl w:val="CF6C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126F8"/>
    <w:multiLevelType w:val="hybridMultilevel"/>
    <w:tmpl w:val="48BCC88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45E52A60"/>
    <w:multiLevelType w:val="hybridMultilevel"/>
    <w:tmpl w:val="E3DE7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265C97"/>
    <w:multiLevelType w:val="hybridMultilevel"/>
    <w:tmpl w:val="0BB816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9043D"/>
    <w:multiLevelType w:val="hybridMultilevel"/>
    <w:tmpl w:val="A1A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096212">
    <w:abstractNumId w:val="0"/>
  </w:num>
  <w:num w:numId="2" w16cid:durableId="1219779434">
    <w:abstractNumId w:val="2"/>
  </w:num>
  <w:num w:numId="3" w16cid:durableId="819731488">
    <w:abstractNumId w:val="1"/>
  </w:num>
  <w:num w:numId="4" w16cid:durableId="528183345">
    <w:abstractNumId w:val="5"/>
  </w:num>
  <w:num w:numId="5" w16cid:durableId="173570771">
    <w:abstractNumId w:val="3"/>
  </w:num>
  <w:num w:numId="6" w16cid:durableId="950472075">
    <w:abstractNumId w:val="4"/>
  </w:num>
  <w:num w:numId="7" w16cid:durableId="1264999712">
    <w:abstractNumId w:val="6"/>
  </w:num>
  <w:num w:numId="8" w16cid:durableId="1528375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E"/>
    <w:rsid w:val="00023DCE"/>
    <w:rsid w:val="00034F05"/>
    <w:rsid w:val="000B7C8C"/>
    <w:rsid w:val="000E097A"/>
    <w:rsid w:val="00180FF0"/>
    <w:rsid w:val="001849BA"/>
    <w:rsid w:val="001B1250"/>
    <w:rsid w:val="001C7384"/>
    <w:rsid w:val="001F328A"/>
    <w:rsid w:val="002077FC"/>
    <w:rsid w:val="002B4272"/>
    <w:rsid w:val="00310413"/>
    <w:rsid w:val="0033246F"/>
    <w:rsid w:val="00332B93"/>
    <w:rsid w:val="00381A30"/>
    <w:rsid w:val="003C592A"/>
    <w:rsid w:val="004B086F"/>
    <w:rsid w:val="004D040E"/>
    <w:rsid w:val="005226FC"/>
    <w:rsid w:val="00550653"/>
    <w:rsid w:val="00573F81"/>
    <w:rsid w:val="00590F72"/>
    <w:rsid w:val="00620269"/>
    <w:rsid w:val="0062076F"/>
    <w:rsid w:val="006662D5"/>
    <w:rsid w:val="006A6050"/>
    <w:rsid w:val="006B1CAE"/>
    <w:rsid w:val="00704450"/>
    <w:rsid w:val="007312F1"/>
    <w:rsid w:val="0073376F"/>
    <w:rsid w:val="00763951"/>
    <w:rsid w:val="00777E42"/>
    <w:rsid w:val="00861242"/>
    <w:rsid w:val="0087722F"/>
    <w:rsid w:val="0087758A"/>
    <w:rsid w:val="008A1075"/>
    <w:rsid w:val="008F09A6"/>
    <w:rsid w:val="009037DE"/>
    <w:rsid w:val="00935093"/>
    <w:rsid w:val="009623E2"/>
    <w:rsid w:val="00A3288C"/>
    <w:rsid w:val="00A457A7"/>
    <w:rsid w:val="00AA0266"/>
    <w:rsid w:val="00B80CB9"/>
    <w:rsid w:val="00BC79F4"/>
    <w:rsid w:val="00BF36F0"/>
    <w:rsid w:val="00C41CCB"/>
    <w:rsid w:val="00C74A12"/>
    <w:rsid w:val="00CA55B6"/>
    <w:rsid w:val="00D45F1C"/>
    <w:rsid w:val="00D66B3A"/>
    <w:rsid w:val="00D852AD"/>
    <w:rsid w:val="00E45B9F"/>
    <w:rsid w:val="00E55AE6"/>
    <w:rsid w:val="00EB7618"/>
    <w:rsid w:val="00ED092E"/>
    <w:rsid w:val="00F17821"/>
    <w:rsid w:val="00F91A72"/>
    <w:rsid w:val="00FA67FB"/>
    <w:rsid w:val="00FB26A4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8BAD"/>
  <w15:chartTrackingRefBased/>
  <w15:docId w15:val="{EDEC23F5-275D-40EA-8593-4A6BCA27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75"/>
  </w:style>
  <w:style w:type="paragraph" w:styleId="Heading1">
    <w:name w:val="heading 1"/>
    <w:basedOn w:val="Normal"/>
    <w:next w:val="Normal"/>
    <w:link w:val="Heading1Char"/>
    <w:uiPriority w:val="9"/>
    <w:qFormat/>
    <w:rsid w:val="006B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A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B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7</cp:revision>
  <dcterms:created xsi:type="dcterms:W3CDTF">2024-07-19T21:06:00Z</dcterms:created>
  <dcterms:modified xsi:type="dcterms:W3CDTF">2024-07-20T21:05:00Z</dcterms:modified>
</cp:coreProperties>
</file>