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1584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gridSpan w:val="7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Mean ± SD of site characteristics for the full period of record.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IU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GPP (g O₂ m⁻² d⁻¹)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8.87 ± 9.43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12.44 ± 7.34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 ± 4.77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 ± 1.66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14.57 ± 10.14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2.81 ± 1.93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ER (g O₂ m⁻² d⁻¹)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-11.2 ± 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-12.36 ± 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-12.46 ± 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-10.19 ±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-11.15 ±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-8.65 ± 2.66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 (mg L⁻¹)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3.32 ±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5.44 ± 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5.86 ± 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 ± 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3.55 ±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3.34 ± 2.03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pCO₂ (×10³ ppm)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±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 ±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 ±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NaN ±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 ±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 ± 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Depth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±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 ±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NaN ±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± 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± 0.48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k₆₀₀ (d⁻¹)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 ±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 ± 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 ±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± 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 ±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 ± 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Velocity (m s⁻¹)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 ± 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 ± 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± 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NaN ±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 ± 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 ± 0.131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(L s⁻¹)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-533.3 ± 1711.7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71.8 ± 80.2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830.8 ± 1054.8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NaN ± NA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46.7 ± 50.6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NaN ± NA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Values are mean ± SD of daily values.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2026-05-11T17:31:34Z</dcterms:modified>
  <cp:category/>
</cp:coreProperties>
</file>