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331"/>
        <w:gridCol w:w="891"/>
        <w:gridCol w:w="1151"/>
        <w:gridCol w:w="961"/>
        <w:gridCol w:w="961"/>
        <w:gridCol w:w="1395"/>
        <w:gridCol w:w="1395"/>
        <w:gridCol w:w="1371"/>
        <w:gridCol w:w="916"/>
        <w:gridCol w:w="861"/>
        <w:gridCol w:w="861"/>
        <w:gridCol w:w="1071"/>
        <w:gridCol w:w="761"/>
      </w:tblGrid>
      <w:tr>
        <w:trPr>
          <w:trHeight w:val="746" w:hRule="auto"/>
          <w:tblHeader/>
        </w:trPr>
        <w:tc>
          <w:tcPr>
            <w:gridSpan w:val="1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2. Flood event characteristics by site.</w:t>
            </w:r>
          </w:p>
        </w:tc>
      </w:tr>
      <w:tr>
        <w:trPr>
          <w:trHeight w:val="74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Class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Duration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(days)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DO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(mg/L)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CO₂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(ppm)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GPP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(g O₂/m²/d)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ER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(g O₂/m²/d)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Peak depth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(m)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k₆₀₀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(d⁻¹)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(L/s)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(m/s)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SpC</w:t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(μS/cm)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pH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2022-07-10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11,670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6.81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2023-01-17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2023-05-26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2023-08-12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2023-11-29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2024-03-06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6.06</w:t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2024-07-10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2022-08-23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7.46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2023-07-18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7.24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2022-08-17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7.42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2023-06-14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2023-12-06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7.00</w:t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2024-03-18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7.34</w:t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2024-05-26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7.55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2022-04-01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2022-08-31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2023-02-02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7.24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2023-06-17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7.38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2023-08-25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2023-12-08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7.54</w:t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2024-08-02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2022-04-01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2022-08-30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7.23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2023-02-06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6.77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2023-06-17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7.14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2023-12-09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6.64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2024-03-18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6.51</w:t>
            </w:r>
          </w:p>
        </w:tc>
      </w:tr>
      <w:tr>
        <w:trPr>
          <w:trHeight w:val="544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2024-07-13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Extreme values: minimum (GPP, ER, DO, pH, SpC) or maximum (CO₂, depth) during each flood event. K600, velocity, and discharge are site-period averages.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2026-05-11T17:31:41Z</dcterms:modified>
  <cp:category/>
</cp:coreProperties>
</file>