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6"/>
          <w:szCs w:val="36"/>
        </w:rPr>
        <w:t xml:space="preserve">Methods</w:t>
      </w:r>
    </w:p>
    <w:p>
      <w:pPr>
        <w:spacing w:after="60" w:before="0"/>
        <w:jc w:val="center"/>
      </w:pPr>
      <w:r>
        <w:rPr>
          <w:rFonts w:ascii="Times New Roman" w:cs="Times New Roman" w:eastAsia="Times New Roman" w:hAnsi="Times New Roman"/>
          <w:i/>
          <w:iCs/>
          <w:sz w:val="26"/>
          <w:szCs w:val="26"/>
        </w:rPr>
        <w:t xml:space="preserve">Isolation of Flood Disturbance Effects on Spring Stream Water Chemistry and Ecosystem Metabolism</w:t>
      </w:r>
    </w:p>
    <w:p>
      <w:pPr>
        <w:spacing w:after="400" w:before="0"/>
        <w:jc w:val="center"/>
      </w:pPr>
      <w:r>
        <w:rPr>
          <w:rFonts w:ascii="Times New Roman" w:cs="Times New Roman" w:eastAsia="Times New Roman" w:hAnsi="Times New Roman"/>
          <w:color w:val="888888"/>
          <w:sz w:val="20"/>
          <w:szCs w:val="20"/>
        </w:rPr>
        <w:t xml:space="preserve">Draft — for advisor review</w:t>
      </w:r>
    </w:p>
    <w:p>
      <w:pPr>
        <w:pBdr>
          <w:bottom w:val="single" w:color="000000" w:sz="4" w:space="1"/>
        </w:pBdr>
        <w:spacing w:after="400" w:before="0"/>
      </w:pPr>
    </w:p>
    <w:p>
      <w:pPr>
        <w:pStyle w:val="Heading1"/>
        <w:spacing w:after="120" w:before="360"/>
      </w:pPr>
      <w:r>
        <w:rPr>
          <w:rFonts w:ascii="Times New Roman" w:cs="Times New Roman" w:eastAsia="Times New Roman" w:hAnsi="Times New Roman"/>
          <w:b/>
          <w:bCs/>
          <w:sz w:val="28"/>
          <w:szCs w:val="28"/>
        </w:rPr>
        <w:t xml:space="preserve">Flood Event Detection</w:t>
      </w:r>
    </w:p>
    <w:p>
      <w:pPr>
        <w:pStyle w:val="Heading2"/>
        <w:spacing w:after="80" w:before="240"/>
      </w:pPr>
      <w:r>
        <w:rPr>
          <w:rFonts w:ascii="Times New Roman" w:cs="Times New Roman" w:eastAsia="Times New Roman" w:hAnsi="Times New Roman"/>
          <w:b/>
          <w:bCs/>
          <w:i/>
          <w:iCs/>
          <w:sz w:val="24"/>
          <w:szCs w:val="24"/>
        </w:rPr>
        <w:t xml:space="preserve">Depth data processing</w:t>
      </w:r>
    </w:p>
    <w:p>
      <w:pPr>
        <w:spacing w:after="200" w:before="0"/>
        <w:ind w:firstLine="720"/>
      </w:pPr>
      <w:r>
        <w:rPr>
          <w:rFonts w:ascii="Times New Roman" w:cs="Times New Roman" w:eastAsia="Times New Roman" w:hAnsi="Times New Roman"/>
          <w:sz w:val="24"/>
          <w:szCs w:val="24"/>
        </w:rPr>
        <w:t xml:space="preserve">Hourly water depth records from six spring stream sites (GB, AM, LF, OS, ID, IU) were compiled from January 2022 through the end of the monitoring period. Sensor records were filtered to the top of each hour to produce uniform hourly time series. Depth observations at site GB recorded after July 2024 were excluded due to a sensor malfunction.</w:t>
      </w:r>
    </w:p>
    <w:p>
      <w:pPr>
        <w:spacing w:after="200" w:before="0"/>
        <w:ind w:firstLine="720"/>
      </w:pPr>
      <w:r>
        <w:rPr>
          <w:rFonts w:ascii="Times New Roman" w:cs="Times New Roman" w:eastAsia="Times New Roman" w:hAnsi="Times New Roman"/>
          <w:sz w:val="24"/>
          <w:szCs w:val="24"/>
        </w:rPr>
        <w:t xml:space="preserve">To reduce high-frequency noise prior to slope estimation, depth at each site was smoothed using locally weighted scatterplot smoothing (LOESS; Cleveland 1979) applied across the full deployment period, with a smoothing span of 0.1. The smoothed depth series was then normalized by each site's temporal mean depth, yielding a dimensionless depth index that facilitated comparison of depth dynamics across sites with differing baseflow depths.</w:t>
      </w:r>
    </w:p>
    <w:p>
      <w:pPr>
        <w:pStyle w:val="Heading2"/>
        <w:spacing w:after="80" w:before="240"/>
      </w:pPr>
      <w:r>
        <w:rPr>
          <w:rFonts w:ascii="Times New Roman" w:cs="Times New Roman" w:eastAsia="Times New Roman" w:hAnsi="Times New Roman"/>
          <w:b/>
          <w:bCs/>
          <w:i/>
          <w:iCs/>
          <w:sz w:val="24"/>
          <w:szCs w:val="24"/>
        </w:rPr>
        <w:t xml:space="preserve">Slope-based hydrograph classification</w:t>
      </w:r>
    </w:p>
    <w:p>
      <w:pPr>
        <w:spacing w:after="200" w:before="0"/>
        <w:ind w:firstLine="720"/>
      </w:pPr>
      <w:r>
        <w:rPr>
          <w:rFonts w:ascii="Times New Roman" w:cs="Times New Roman" w:eastAsia="Times New Roman" w:hAnsi="Times New Roman"/>
          <w:sz w:val="24"/>
          <w:szCs w:val="24"/>
        </w:rPr>
        <w:t xml:space="preserve">The normalized depth time series at each site was partitioned into consecutive, non-overlapping three-day blocks. Within each block, a linear regression of normalized depth on time (converted to units of normalized depth day</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was fitted independently for each site. Only blocks in which the absolute value of the regression slope exceeded 0.01 normalized depth units day</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were retained, thereby excluding periods of gradual seasonal change while preserving periods of rapid depth fluctuation consistent with hydrologic disturbance. Although this threshold was selected empirically to effectively distinguish flood pulses from background variation in these datasets, its sensitivity warrants evaluation in future analyses.</w:t>
      </w:r>
    </w:p>
    <w:p>
      <w:pPr>
        <w:pStyle w:val="Heading2"/>
        <w:spacing w:after="80" w:before="240"/>
      </w:pPr>
      <w:r>
        <w:rPr>
          <w:rFonts w:ascii="Times New Roman" w:cs="Times New Roman" w:eastAsia="Times New Roman" w:hAnsi="Times New Roman"/>
          <w:b/>
          <w:bCs/>
          <w:i/>
          <w:iCs/>
          <w:sz w:val="24"/>
          <w:szCs w:val="24"/>
        </w:rPr>
        <w:t xml:space="preserve">Flood period identification</w:t>
      </w:r>
    </w:p>
    <w:p>
      <w:pPr>
        <w:spacing w:after="200" w:before="0"/>
        <w:ind w:firstLine="720"/>
      </w:pPr>
      <w:r>
        <w:rPr>
          <w:rFonts w:ascii="Times New Roman" w:cs="Times New Roman" w:eastAsia="Times New Roman" w:hAnsi="Times New Roman"/>
          <w:sz w:val="24"/>
          <w:szCs w:val="24"/>
        </w:rPr>
        <w:t xml:space="preserve">Retained blocks were classified by slope direction: positive slopes (rising depth) or negative slopes (falling depth). Using the </w:t>
      </w:r>
      <w:r>
        <w:rPr>
          <w:rFonts w:ascii="Times New Roman" w:cs="Times New Roman" w:eastAsia="Times New Roman" w:hAnsi="Times New Roman"/>
          <w:i/>
          <w:iCs/>
          <w:sz w:val="24"/>
          <w:szCs w:val="24"/>
        </w:rPr>
        <w:t xml:space="preserve">consecutive_id</w:t>
      </w:r>
      <w:r>
        <w:rPr>
          <w:rFonts w:ascii="Times New Roman" w:cs="Times New Roman" w:eastAsia="Times New Roman" w:hAnsi="Times New Roman"/>
          <w:sz w:val="24"/>
          <w:szCs w:val="24"/>
        </w:rPr>
        <w:t xml:space="preserve"> function in the dplyr R package (Wickham et al. 2023), temporally contiguous blocks of the same slope direction were grouped into runs. A flood event was defined as a positive run immediately followed by a negative run, capturing the rising and falling limbs of a flood pulse at each site. Each site could thus experience multiple discrete flood events, numbered sequentially. The temporal bounds of each flood event were defined as the start of the positive run and the end of the subsequent negative run. Flood period boundaries were exported and used as the master flood index for all downstream analyses.</w:t>
      </w:r>
    </w:p>
    <w:p>
      <w:pPr>
        <w:pStyle w:val="Heading1"/>
        <w:spacing w:after="120" w:before="360"/>
      </w:pPr>
      <w:r>
        <w:rPr>
          <w:rFonts w:ascii="Times New Roman" w:cs="Times New Roman" w:eastAsia="Times New Roman" w:hAnsi="Times New Roman"/>
          <w:b/>
          <w:bCs/>
          <w:sz w:val="28"/>
          <w:szCs w:val="28"/>
        </w:rPr>
        <w:t xml:space="preserve">Isolation of Flood Impacts on Response Variables</w:t>
      </w:r>
    </w:p>
    <w:p>
      <w:pPr>
        <w:spacing w:after="200" w:before="0"/>
      </w:pPr>
      <w:r>
        <w:rPr>
          <w:rFonts w:ascii="Times New Roman" w:cs="Times New Roman" w:eastAsia="Times New Roman" w:hAnsi="Times New Roman"/>
          <w:sz w:val="24"/>
          <w:szCs w:val="24"/>
        </w:rPr>
        <w:t xml:space="preserve">Flood impacts were quantified independently for dissolved oxygen (DO), dissolved carbon dioxide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gross primary production (GPP), ecosystem respiration (ER), and water depth, following a common six-step pipeline. Variables measured at hourly resolution (DO,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depth) used hourly-resolution isolation procedures; daily-resolution variables (GPP, ER) used analogous daily-resolution procedures. GPP and ER estimates were obtained from a previously fitted two-station open-channel metabolism model (see </w:t>
      </w:r>
      <w:r>
        <w:rPr>
          <w:rFonts w:ascii="Times New Roman" w:cs="Times New Roman" w:eastAsia="Times New Roman" w:hAnsi="Times New Roman"/>
          <w:i/>
          <w:iCs/>
          <w:sz w:val="24"/>
          <w:szCs w:val="24"/>
        </w:rPr>
        <w:t xml:space="preserve">Stream metabolism estimation</w:t>
      </w:r>
      <w:r>
        <w:rPr>
          <w:rFonts w:ascii="Times New Roman" w:cs="Times New Roman" w:eastAsia="Times New Roman" w:hAnsi="Times New Roman"/>
          <w:sz w:val="24"/>
          <w:szCs w:val="24"/>
        </w:rPr>
        <w:t xml:space="preserve">, this Methods). ER was taken as an absolute value for all analyses.</w:t>
      </w:r>
    </w:p>
    <w:p>
      <w:pPr>
        <w:pStyle w:val="Heading2"/>
        <w:spacing w:after="80" w:before="240"/>
      </w:pPr>
      <w:r>
        <w:rPr>
          <w:rFonts w:ascii="Times New Roman" w:cs="Times New Roman" w:eastAsia="Times New Roman" w:hAnsi="Times New Roman"/>
          <w:b/>
          <w:bCs/>
          <w:i/>
          <w:iCs/>
          <w:sz w:val="24"/>
          <w:szCs w:val="24"/>
        </w:rPr>
        <w:t xml:space="preserve">Flagging flood observations</w:t>
      </w:r>
    </w:p>
    <w:p>
      <w:pPr>
        <w:spacing w:after="200" w:before="0"/>
        <w:ind w:firstLine="720"/>
      </w:pPr>
      <w:r>
        <w:rPr>
          <w:rFonts w:ascii="Times New Roman" w:cs="Times New Roman" w:eastAsia="Times New Roman" w:hAnsi="Times New Roman"/>
          <w:sz w:val="24"/>
          <w:szCs w:val="24"/>
        </w:rPr>
        <w:t xml:space="preserve">Each variable's time series was assigned to flood events using a range join matching observations whose timestamps fell within the start and end dates of an identified flood period. Observations not encompassed by any flood period were retained as non-flooded reference data. Site- and event-specific quality flags were also applied at this stage: for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observations below 600 ppm were excluded as sensor noise, values above 3,500 ppm at site OS during flood 1 were excluded as outliers, and dissolved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concentrations were computed from ppm values using Henry's Law solubility corrected for water temperature (Equation 1). For GPP, values below 1.2 g 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at site LF during flood 2 were excluded. For ER, values above 25 g 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m</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d</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at site ID during flood 2 were excluded.</w:t>
      </w:r>
    </w:p>
    <w:p>
      <w:pPr>
        <w:spacing w:after="80" w:before="80"/>
        <w:ind w:left="1440"/>
        <w:jc w:val="center"/>
      </w:pP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4"/>
          <w:szCs w:val="24"/>
        </w:rPr>
        <w:t xml:space="preserve"> = 0.034 × 2.178</w:t>
      </w:r>
      <w:r>
        <w:rPr>
          <w:rFonts w:ascii="Times New Roman" w:cs="Times New Roman" w:eastAsia="Times New Roman" w:hAnsi="Times New Roman"/>
          <w:sz w:val="20"/>
          <w:szCs w:val="20"/>
          <w:vertAlign w:val="superscript"/>
        </w:rPr>
        <w:t xml:space="preserve">exp</w:t>
      </w:r>
      <w:r>
        <w:rPr>
          <w:rFonts w:ascii="Times New Roman" w:cs="Times New Roman" w:eastAsia="Times New Roman" w:hAnsi="Times New Roman"/>
          <w:sz w:val="24"/>
          <w:szCs w:val="24"/>
        </w:rPr>
        <w:t xml:space="preserve">,     where exp = 2400 × (1/</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0"/>
          <w:szCs w:val="20"/>
          <w:vertAlign w:val="subscript"/>
        </w:rPr>
        <w:t xml:space="preserve">K</w:t>
      </w:r>
      <w:r>
        <w:rPr>
          <w:rFonts w:ascii="Times New Roman" w:cs="Times New Roman" w:eastAsia="Times New Roman" w:hAnsi="Times New Roman"/>
          <w:sz w:val="24"/>
          <w:szCs w:val="24"/>
        </w:rPr>
        <w:t xml:space="preserve"> − 1/298.15)     … (1)</w:t>
      </w:r>
    </w:p>
    <w:p>
      <w:pPr>
        <w:spacing w:after="200" w:before="0"/>
        <w:ind w:left="1440"/>
        <w:jc w:val="center"/>
      </w:pPr>
      <w:r>
        <w:rPr>
          <w:rFonts w:ascii="Times New Roman" w:cs="Times New Roman" w:eastAsia="Times New Roman" w:hAnsi="Times New Roman"/>
          <w:sz w:val="24"/>
          <w:szCs w:val="24"/>
        </w:rPr>
        <w:t xml:space="preserve">[CO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w:t>
      </w:r>
      <w:r>
        <w:rPr>
          <w:rFonts w:ascii="Times New Roman" w:cs="Times New Roman" w:eastAsia="Times New Roman" w:hAnsi="Times New Roman"/>
          <w:sz w:val="22"/>
          <w:szCs w:val="22"/>
        </w:rPr>
        <w:t xml:space="preserve">mg L⁻¹</w:t>
      </w:r>
      <w:r>
        <w:rPr>
          <w:rFonts w:ascii="Times New Roman" w:cs="Times New Roman" w:eastAsia="Times New Roman" w:hAnsi="Times New Roman"/>
          <w:sz w:val="24"/>
          <w:szCs w:val="24"/>
        </w:rPr>
        <w:t xml:space="preserve"> =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(ppm) / 10⁶ ×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4"/>
          <w:szCs w:val="24"/>
        </w:rPr>
        <w:t xml:space="preserve"> × 44.01 × 10³     … (2)</w:t>
      </w:r>
    </w:p>
    <w:p>
      <w:pPr>
        <w:spacing w:after="200" w:before="0"/>
        <w:ind w:firstLine="720"/>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rPr>
        <w:t xml:space="preserve"> is the temperature-corrected Henry's Law solubility coefficient for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(mol 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atm</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K</w:t>
      </w:r>
      <w:r>
        <w:rPr>
          <w:rFonts w:ascii="Times New Roman" w:cs="Times New Roman" w:eastAsia="Times New Roman" w:hAnsi="Times New Roman"/>
          <w:sz w:val="24"/>
          <w:szCs w:val="24"/>
        </w:rPr>
        <w:t xml:space="preserve"> is water temperature in Kelvin.</w:t>
      </w:r>
    </w:p>
    <w:p>
      <w:pPr>
        <w:pStyle w:val="Heading2"/>
        <w:spacing w:after="80" w:before="240"/>
      </w:pPr>
      <w:r>
        <w:rPr>
          <w:rFonts w:ascii="Times New Roman" w:cs="Times New Roman" w:eastAsia="Times New Roman" w:hAnsi="Times New Roman"/>
          <w:b/>
          <w:bCs/>
          <w:i/>
          <w:iCs/>
          <w:sz w:val="24"/>
          <w:szCs w:val="24"/>
        </w:rPr>
        <w:t xml:space="preserve">Baseline estimation</w:t>
      </w:r>
    </w:p>
    <w:p>
      <w:pPr>
        <w:spacing w:after="200" w:before="0"/>
        <w:ind w:firstLine="720"/>
      </w:pPr>
      <w:r>
        <w:rPr>
          <w:rFonts w:ascii="Times New Roman" w:cs="Times New Roman" w:eastAsia="Times New Roman" w:hAnsi="Times New Roman"/>
          <w:sz w:val="24"/>
          <w:szCs w:val="24"/>
        </w:rPr>
        <w:t xml:space="preserve">A pre-flood baseline concentration or rate was estimated for each site-by-flood combination as the arithmetic mean of two complementary estimates. The first estimate (base</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4"/>
          <w:szCs w:val="24"/>
        </w:rPr>
        <w:t xml:space="preserve">) was the mean of the response variable during all non-flooded observations at that site, carried forward to each flood event via directional filling. The second estimate (base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4"/>
          <w:szCs w:val="24"/>
        </w:rPr>
        <w:t xml:space="preserve">) was the mean of the response variable observed when depth was in the lowest quartile of the site's depth distribution, providing an approximation of background conditions at near-baseflow water levels. The final baseline was the mean of base</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4"/>
          <w:szCs w:val="24"/>
        </w:rPr>
        <w:t xml:space="preserve"> and base</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4"/>
          <w:szCs w:val="24"/>
        </w:rPr>
        <w:t xml:space="preserve">. In cases where the composite baseline was physically implausible (e.g.,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baseline below 5,000 ppm at site GB), the baseline was replaced with the site-level temporal mean.</w:t>
      </w:r>
    </w:p>
    <w:p>
      <w:pPr>
        <w:pStyle w:val="Heading2"/>
        <w:spacing w:after="80" w:before="240"/>
      </w:pPr>
      <w:r>
        <w:rPr>
          <w:rFonts w:ascii="Times New Roman" w:cs="Times New Roman" w:eastAsia="Times New Roman" w:hAnsi="Times New Roman"/>
          <w:b/>
          <w:bCs/>
          <w:i/>
          <w:iCs/>
          <w:sz w:val="24"/>
          <w:szCs w:val="24"/>
        </w:rPr>
        <w:t xml:space="preserve">Within-flood LOESS smoothing</w:t>
      </w:r>
    </w:p>
    <w:p>
      <w:pPr>
        <w:spacing w:after="200" w:before="0"/>
        <w:ind w:firstLine="720"/>
      </w:pPr>
      <w:r>
        <w:rPr>
          <w:rFonts w:ascii="Times New Roman" w:cs="Times New Roman" w:eastAsia="Times New Roman" w:hAnsi="Times New Roman"/>
          <w:sz w:val="24"/>
          <w:szCs w:val="24"/>
        </w:rPr>
        <w:t xml:space="preserve">Within each flood event, the response variable was smoothed using LOESS with a group-specific time index representing hours (for hourly variables) or days (for daily variables) elapsed since the start of the event, fitted independently for each site-by-event group. Groups comprising fewer than five observations were excluded. The smoothing span was set to 0.1 for DO, to preserve the sharper dynamics characteristic of dissolved oxygen responses, and to 0.3 for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depth, GPP, and ER. The smoothed series was retained alongside raw observations and the estimated baseline for subsequent steps.</w:t>
      </w:r>
    </w:p>
    <w:p>
      <w:pPr>
        <w:pStyle w:val="Heading2"/>
        <w:spacing w:after="80" w:before="240"/>
      </w:pPr>
      <w:r>
        <w:rPr>
          <w:rFonts w:ascii="Times New Roman" w:cs="Times New Roman" w:eastAsia="Times New Roman" w:hAnsi="Times New Roman"/>
          <w:b/>
          <w:bCs/>
          <w:i/>
          <w:iCs/>
          <w:sz w:val="24"/>
          <w:szCs w:val="24"/>
        </w:rPr>
        <w:t xml:space="preserve">Disturbance window isolation</w:t>
      </w:r>
    </w:p>
    <w:p>
      <w:pPr>
        <w:spacing w:after="200" w:before="0"/>
        <w:ind w:firstLine="720"/>
      </w:pPr>
      <w:r>
        <w:rPr>
          <w:rFonts w:ascii="Times New Roman" w:cs="Times New Roman" w:eastAsia="Times New Roman" w:hAnsi="Times New Roman"/>
          <w:sz w:val="24"/>
          <w:szCs w:val="24"/>
        </w:rPr>
        <w:t xml:space="preserve">The time axis of each flood event was re-centred at the peak of the disturbance, defined as the minimum smoothed value for variables expected to decrease during floods (DO, GPP) and the maximum smoothed value for variables expected to increase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ER, depth). The re-centred index (count) thus takes negative values on the rising limb (pre-peak) and positive values on the recession limb (post-peak). To isolate the disturbance window, observations were filtered to those on the depleted or elevated side of the baseline: below the baseline for DO and GPP, and above the baseline for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ER, and depth.</w:t>
      </w:r>
    </w:p>
    <w:p>
      <w:pPr>
        <w:spacing w:after="200" w:before="0"/>
        <w:ind w:firstLine="720"/>
      </w:pPr>
      <w:r>
        <w:rPr>
          <w:rFonts w:ascii="Times New Roman" w:cs="Times New Roman" w:eastAsia="Times New Roman" w:hAnsi="Times New Roman"/>
          <w:sz w:val="24"/>
          <w:szCs w:val="24"/>
        </w:rPr>
        <w:t xml:space="preserve">Data gaps within the disturbance window exceeding 7 days (hourly variables) or 14 days (daily variables) were treated as indicators of sensor outage or biological recovery, and observations following the first such gap on the recession limb, or preceding the last such gap on the rising limb, were excluded to avoid artificially inflating estimated disturbance duration.</w:t>
      </w:r>
    </w:p>
    <w:p>
      <w:pPr>
        <w:pStyle w:val="Heading2"/>
        <w:spacing w:after="80" w:before="240"/>
      </w:pPr>
      <w:r>
        <w:rPr>
          <w:rFonts w:ascii="Times New Roman" w:cs="Times New Roman" w:eastAsia="Times New Roman" w:hAnsi="Times New Roman"/>
          <w:b/>
          <w:bCs/>
          <w:i/>
          <w:iCs/>
          <w:sz w:val="24"/>
          <w:szCs w:val="24"/>
        </w:rPr>
        <w:t xml:space="preserve">Flood boundary delineation</w:t>
      </w:r>
    </w:p>
    <w:p>
      <w:pPr>
        <w:spacing w:after="200" w:before="0"/>
        <w:ind w:firstLine="720"/>
      </w:pPr>
      <w:r>
        <w:rPr>
          <w:rFonts w:ascii="Times New Roman" w:cs="Times New Roman" w:eastAsia="Times New Roman" w:hAnsi="Times New Roman"/>
          <w:sz w:val="24"/>
          <w:szCs w:val="24"/>
        </w:rPr>
        <w:t xml:space="preserve">For each site-by-event combination, flood start and end dates were estimated from the LOESS-smoothed response variable relative to the baseline. The boundary criterion was set as a 20% departure from baseline (&lt; 0.8× baseline for decreasing variables; &gt; 1.2× baseline for increasing variables) if any smoothed observation met that threshold; otherwise, the baseline itself (1.0×) was used as the criterion. Flood onset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start</w:t>
      </w:r>
      <w:r>
        <w:rPr>
          <w:rFonts w:ascii="Times New Roman" w:cs="Times New Roman" w:eastAsia="Times New Roman" w:hAnsi="Times New Roman"/>
          <w:sz w:val="24"/>
          <w:szCs w:val="24"/>
        </w:rPr>
        <w:t xml:space="preserve">) was defined as the earliest date in the pre-peak period at which three consecutive observations exceeded the boundary criterion. Flood cessation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end</w:t>
      </w:r>
      <w:r>
        <w:rPr>
          <w:rFonts w:ascii="Times New Roman" w:cs="Times New Roman" w:eastAsia="Times New Roman" w:hAnsi="Times New Roman"/>
          <w:sz w:val="24"/>
          <w:szCs w:val="24"/>
        </w:rPr>
        <w:t xml:space="preserve">) was defined as the earliest date in the post-peak period at which three consecutive observations returned to or through the boundary criterion. Where no cessation was detected within the observed record,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end</w:t>
      </w:r>
      <w:r>
        <w:rPr>
          <w:rFonts w:ascii="Times New Roman" w:cs="Times New Roman" w:eastAsia="Times New Roman" w:hAnsi="Times New Roman"/>
          <w:sz w:val="24"/>
          <w:szCs w:val="24"/>
        </w:rPr>
        <w:t xml:space="preserve"> was set to the final date of available data plus one day. The three-consecutive-observation criterion was applied to reduce the influence of transient noise on boundary placement.</w:t>
      </w:r>
    </w:p>
    <w:p>
      <w:pPr>
        <w:spacing w:after="200" w:before="0"/>
        <w:ind w:firstLine="720"/>
      </w:pPr>
      <w:r>
        <w:rPr>
          <w:rFonts w:ascii="Times New Roman" w:cs="Times New Roman" w:eastAsia="Times New Roman" w:hAnsi="Times New Roman"/>
          <w:sz w:val="24"/>
          <w:szCs w:val="24"/>
        </w:rPr>
        <w:t xml:space="preserve">Flood duration (days) was computed as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end</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start</w:t>
      </w:r>
      <w:r>
        <w:rPr>
          <w:rFonts w:ascii="Times New Roman" w:cs="Times New Roman" w:eastAsia="Times New Roman" w:hAnsi="Times New Roman"/>
          <w:sz w:val="24"/>
          <w:szCs w:val="24"/>
        </w:rPr>
        <w:t xml:space="preserve">. Peak flood magnitude was recorded as the minimum (DO, GPP) or maximum (CO</w:t>
      </w:r>
      <w:r>
        <w:rPr>
          <w:rFonts w:ascii="Times New Roman" w:cs="Times New Roman" w:eastAsia="Times New Roman" w:hAnsi="Times New Roman"/>
          <w:sz w:val="20"/>
          <w:szCs w:val="20"/>
          <w:vertAlign w:val="subscript"/>
        </w:rPr>
        <w:t xml:space="preserve">2</w:t>
      </w:r>
      <w:r>
        <w:rPr>
          <w:rFonts w:ascii="Times New Roman" w:cs="Times New Roman" w:eastAsia="Times New Roman" w:hAnsi="Times New Roman"/>
          <w:sz w:val="24"/>
          <w:szCs w:val="24"/>
        </w:rPr>
        <w:t xml:space="preserve">, ER, depth) observed value within the full flagged flood period.</w:t>
      </w:r>
    </w:p>
    <w:p>
      <w:pPr>
        <w:pStyle w:val="Heading2"/>
        <w:spacing w:after="80" w:before="240"/>
      </w:pPr>
      <w:r>
        <w:rPr>
          <w:rFonts w:ascii="Times New Roman" w:cs="Times New Roman" w:eastAsia="Times New Roman" w:hAnsi="Times New Roman"/>
          <w:b/>
          <w:bCs/>
          <w:i/>
          <w:iCs/>
          <w:sz w:val="24"/>
          <w:szCs w:val="24"/>
        </w:rPr>
        <w:t xml:space="preserve">Rise and recession rate estimation</w:t>
      </w:r>
    </w:p>
    <w:p>
      <w:pPr>
        <w:spacing w:after="200" w:before="0"/>
        <w:ind w:firstLine="720"/>
      </w:pPr>
      <w:r>
        <w:rPr>
          <w:rFonts w:ascii="Times New Roman" w:cs="Times New Roman" w:eastAsia="Times New Roman" w:hAnsi="Times New Roman"/>
          <w:sz w:val="24"/>
          <w:szCs w:val="24"/>
        </w:rPr>
        <w:t xml:space="preserve">Linear models were fitted separately to the pre-peak (rising limb; count &lt; 0) and post-peak (recession limb; count &gt; 0) portions of the isolated disturbance window for each site-by-event combination, using </w:t>
      </w:r>
      <w:r>
        <w:rPr>
          <w:rFonts w:ascii="Times New Roman" w:cs="Times New Roman" w:eastAsia="Times New Roman" w:hAnsi="Times New Roman"/>
          <w:i/>
          <w:iCs/>
          <w:sz w:val="24"/>
          <w:szCs w:val="24"/>
        </w:rPr>
        <w:t xml:space="preserve">lmList</w:t>
      </w:r>
      <w:r>
        <w:rPr>
          <w:rFonts w:ascii="Times New Roman" w:cs="Times New Roman" w:eastAsia="Times New Roman" w:hAnsi="Times New Roman"/>
          <w:sz w:val="24"/>
          <w:szCs w:val="24"/>
        </w:rPr>
        <w:t xml:space="preserve"> from the lme4 package (Bates et al. 2015). Model slopes represent the rate of change of the response variable per unit time (hours for hourly variables; days for daily variables) on each limb; intercepts approximate the expected value at the time of the peak. The coefficient of determination (R</w:t>
      </w: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4"/>
          <w:szCs w:val="24"/>
        </w:rPr>
        <w:t xml:space="preserve">) was retained for each model as an index of linearity of the rise and recession dynamics.</w:t>
      </w:r>
    </w:p>
    <w:p>
      <w:pPr>
        <w:pStyle w:val="Heading2"/>
        <w:spacing w:after="80" w:before="240"/>
      </w:pPr>
      <w:r>
        <w:rPr>
          <w:rFonts w:ascii="Times New Roman" w:cs="Times New Roman" w:eastAsia="Times New Roman" w:hAnsi="Times New Roman"/>
          <w:b/>
          <w:bCs/>
          <w:i/>
          <w:iCs/>
          <w:sz w:val="24"/>
          <w:szCs w:val="24"/>
        </w:rPr>
        <w:t xml:space="preserve">Variable-specific adjustments</w:t>
      </w:r>
    </w:p>
    <w:p>
      <w:pPr>
        <w:spacing w:after="200" w:before="0"/>
        <w:ind w:firstLine="720"/>
      </w:pPr>
      <w:r>
        <w:rPr>
          <w:rFonts w:ascii="Times New Roman" w:cs="Times New Roman" w:eastAsia="Times New Roman" w:hAnsi="Times New Roman"/>
          <w:sz w:val="24"/>
          <w:szCs w:val="24"/>
        </w:rPr>
        <w:t xml:space="preserve">Site AM exhibited high raw-signal variability in ER; accordingly, the LOESS-smoothed ER series was used in place of raw ER values for both the disturbance window filter and the regression inputs at that site. The DO baseline at site OS was set to a fixed value of 4.5 mg L</w:t>
      </w: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4"/>
          <w:szCs w:val="24"/>
        </w:rPr>
        <w:t xml:space="preserve"> to reflect the spring-influenced low-oxygen baseline characteristic of that site. All other site- and event-specific adjustments are described in the data quality flag step above.</w:t>
      </w:r>
    </w:p>
    <w:p>
      <w:pPr>
        <w:pStyle w:val="Heading2"/>
        <w:spacing w:after="80" w:before="240"/>
      </w:pPr>
      <w:r>
        <w:rPr>
          <w:rFonts w:ascii="Times New Roman" w:cs="Times New Roman" w:eastAsia="Times New Roman" w:hAnsi="Times New Roman"/>
          <w:b/>
          <w:bCs/>
          <w:i/>
          <w:iCs/>
          <w:sz w:val="24"/>
          <w:szCs w:val="24"/>
        </w:rPr>
        <w:t xml:space="preserve">Statistical software</w:t>
      </w:r>
    </w:p>
    <w:p>
      <w:pPr>
        <w:spacing w:after="200" w:before="0"/>
        <w:ind w:firstLine="720"/>
      </w:pPr>
      <w:r>
        <w:rPr>
          <w:rFonts w:ascii="Times New Roman" w:cs="Times New Roman" w:eastAsia="Times New Roman" w:hAnsi="Times New Roman"/>
          <w:sz w:val="24"/>
          <w:szCs w:val="24"/>
        </w:rPr>
        <w:t xml:space="preserve">All analyses were conducted in R (version ≥ 4.3; R Core Team 2024) using the tidyverse (Wickham et al. 2019), lme4 (Bates et al. 2015), and weathermetrics (Anderson et al. 2013) packages. Flood period detection and variable-specific isolation procedures are implemented in a suite of custom R scripts available from the corresponding author upon request.</w:t>
      </w:r>
    </w:p>
    <w:p>
      <w:pPr>
        <w:pBdr>
          <w:top w:val="single" w:color="000000" w:sz="4" w:space="1"/>
        </w:pBdr>
        <w:spacing w:after="240" w:before="480"/>
      </w:pPr>
    </w:p>
    <w:p>
      <w:pPr>
        <w:pStyle w:val="Heading1"/>
        <w:spacing w:after="120" w:before="360"/>
      </w:pPr>
      <w:r>
        <w:rPr>
          <w:rFonts w:ascii="Times New Roman" w:cs="Times New Roman" w:eastAsia="Times New Roman" w:hAnsi="Times New Roman"/>
          <w:b/>
          <w:bCs/>
          <w:sz w:val="28"/>
          <w:szCs w:val="28"/>
        </w:rPr>
        <w:t xml:space="preserve">References</w:t>
      </w:r>
    </w:p>
    <w:p>
      <w:pPr>
        <w:spacing w:after="200" w:before="0"/>
      </w:pPr>
      <w:r>
        <w:rPr>
          <w:rFonts w:ascii="Times New Roman" w:cs="Times New Roman" w:eastAsia="Times New Roman" w:hAnsi="Times New Roman"/>
          <w:sz w:val="24"/>
          <w:szCs w:val="24"/>
        </w:rPr>
        <w:t xml:space="preserve">Anderson, G.B., Bell, M.L., and Peng, R.D. (2013). Methods to calculate the heat index as an exposure metric in environmental health research. </w:t>
      </w:r>
      <w:r>
        <w:rPr>
          <w:rFonts w:ascii="Times New Roman" w:cs="Times New Roman" w:eastAsia="Times New Roman" w:hAnsi="Times New Roman"/>
          <w:i/>
          <w:iCs/>
          <w:sz w:val="24"/>
          <w:szCs w:val="24"/>
        </w:rPr>
        <w:t xml:space="preserve">Environmental Health Perspectives</w:t>
      </w:r>
      <w:r>
        <w:rPr>
          <w:rFonts w:ascii="Times New Roman" w:cs="Times New Roman" w:eastAsia="Times New Roman" w:hAnsi="Times New Roman"/>
          <w:sz w:val="24"/>
          <w:szCs w:val="24"/>
        </w:rPr>
        <w:t xml:space="preserve">, 121, 1111–1119.</w:t>
      </w:r>
    </w:p>
    <w:p>
      <w:pPr>
        <w:spacing w:after="200" w:before="0"/>
      </w:pPr>
      <w:r>
        <w:rPr>
          <w:rFonts w:ascii="Times New Roman" w:cs="Times New Roman" w:eastAsia="Times New Roman" w:hAnsi="Times New Roman"/>
          <w:sz w:val="24"/>
          <w:szCs w:val="24"/>
        </w:rPr>
        <w:t xml:space="preserve">Bates, D., Maechler, M., Bolker, B., and Walker, S. (2015). Fitting linear mixed-effects models using lme4. </w:t>
      </w:r>
      <w:r>
        <w:rPr>
          <w:rFonts w:ascii="Times New Roman" w:cs="Times New Roman" w:eastAsia="Times New Roman" w:hAnsi="Times New Roman"/>
          <w:i/>
          <w:iCs/>
          <w:sz w:val="24"/>
          <w:szCs w:val="24"/>
        </w:rPr>
        <w:t xml:space="preserve">Journal of Statistical Software</w:t>
      </w:r>
      <w:r>
        <w:rPr>
          <w:rFonts w:ascii="Times New Roman" w:cs="Times New Roman" w:eastAsia="Times New Roman" w:hAnsi="Times New Roman"/>
          <w:sz w:val="24"/>
          <w:szCs w:val="24"/>
        </w:rPr>
        <w:t xml:space="preserve">, 67(1), 1–48.</w:t>
      </w:r>
    </w:p>
    <w:p>
      <w:pPr>
        <w:spacing w:after="200" w:before="0"/>
      </w:pPr>
      <w:r>
        <w:rPr>
          <w:rFonts w:ascii="Times New Roman" w:cs="Times New Roman" w:eastAsia="Times New Roman" w:hAnsi="Times New Roman"/>
          <w:sz w:val="24"/>
          <w:szCs w:val="24"/>
        </w:rPr>
        <w:t xml:space="preserve">Cleveland, W.S. (1979). Robust locally weighted regression and smoothing scatterplots. </w:t>
      </w:r>
      <w:r>
        <w:rPr>
          <w:rFonts w:ascii="Times New Roman" w:cs="Times New Roman" w:eastAsia="Times New Roman" w:hAnsi="Times New Roman"/>
          <w:i/>
          <w:iCs/>
          <w:sz w:val="24"/>
          <w:szCs w:val="24"/>
        </w:rPr>
        <w:t xml:space="preserve">Journal of the American Statistical Association</w:t>
      </w:r>
      <w:r>
        <w:rPr>
          <w:rFonts w:ascii="Times New Roman" w:cs="Times New Roman" w:eastAsia="Times New Roman" w:hAnsi="Times New Roman"/>
          <w:sz w:val="24"/>
          <w:szCs w:val="24"/>
        </w:rPr>
        <w:t xml:space="preserve">, 74(368), 829–836.</w:t>
      </w:r>
    </w:p>
    <w:p>
      <w:pPr>
        <w:spacing w:after="200" w:before="0"/>
      </w:pPr>
      <w:r>
        <w:rPr>
          <w:rFonts w:ascii="Times New Roman" w:cs="Times New Roman" w:eastAsia="Times New Roman" w:hAnsi="Times New Roman"/>
          <w:sz w:val="24"/>
          <w:szCs w:val="24"/>
        </w:rPr>
        <w:t xml:space="preserve">R Core Team (2024). </w:t>
      </w:r>
      <w:r>
        <w:rPr>
          <w:rFonts w:ascii="Times New Roman" w:cs="Times New Roman" w:eastAsia="Times New Roman" w:hAnsi="Times New Roman"/>
          <w:i/>
          <w:iCs/>
          <w:sz w:val="24"/>
          <w:szCs w:val="24"/>
        </w:rPr>
        <w:t xml:space="preserve">R: A language and environment for statistical computing</w:t>
      </w:r>
      <w:r>
        <w:rPr>
          <w:rFonts w:ascii="Times New Roman" w:cs="Times New Roman" w:eastAsia="Times New Roman" w:hAnsi="Times New Roman"/>
          <w:sz w:val="24"/>
          <w:szCs w:val="24"/>
        </w:rPr>
        <w:t xml:space="preserve">. R Foundation for Statistical Computing, Vienna, Austria.</w:t>
      </w:r>
    </w:p>
    <w:p>
      <w:pPr>
        <w:spacing w:after="200" w:before="0"/>
      </w:pPr>
      <w:r>
        <w:rPr>
          <w:rFonts w:ascii="Times New Roman" w:cs="Times New Roman" w:eastAsia="Times New Roman" w:hAnsi="Times New Roman"/>
          <w:sz w:val="24"/>
          <w:szCs w:val="24"/>
        </w:rPr>
        <w:t xml:space="preserve">Wickham, H., Averick, M., Bryan, J., Chang, W., McGowan, L., François, R., Grolemund, G., Hayes, A., Henry, L., Hester, J., Kuhn, M., Pedersen, T., Miller, E., Bache, S., Müller, K., Ooms, J., Robinson, D., Seidel, D., Spinu, V., Takahashi, K., Vaughan, D., Wilke, C., Woo, K., and Yutani, H. (2019). Welcome to the tidyverse. </w:t>
      </w:r>
      <w:r>
        <w:rPr>
          <w:rFonts w:ascii="Times New Roman" w:cs="Times New Roman" w:eastAsia="Times New Roman" w:hAnsi="Times New Roman"/>
          <w:i/>
          <w:iCs/>
          <w:sz w:val="24"/>
          <w:szCs w:val="24"/>
        </w:rPr>
        <w:t xml:space="preserve">Journal of Open Source Software</w:t>
      </w:r>
      <w:r>
        <w:rPr>
          <w:rFonts w:ascii="Times New Roman" w:cs="Times New Roman" w:eastAsia="Times New Roman" w:hAnsi="Times New Roman"/>
          <w:sz w:val="24"/>
          <w:szCs w:val="24"/>
        </w:rPr>
        <w:t xml:space="preserve">, 4(43), 1686.</w:t>
      </w:r>
    </w:p>
    <w:p>
      <w:pPr>
        <w:spacing w:after="200" w:before="0"/>
      </w:pPr>
      <w:r>
        <w:rPr>
          <w:rFonts w:ascii="Times New Roman" w:cs="Times New Roman" w:eastAsia="Times New Roman" w:hAnsi="Times New Roman"/>
          <w:sz w:val="24"/>
          <w:szCs w:val="24"/>
        </w:rPr>
        <w:t xml:space="preserve">Wickham, H., François, R., Henry, L., Müller, K., and Vaughan, D. (2023). </w:t>
      </w:r>
      <w:r>
        <w:rPr>
          <w:rFonts w:ascii="Times New Roman" w:cs="Times New Roman" w:eastAsia="Times New Roman" w:hAnsi="Times New Roman"/>
          <w:i/>
          <w:iCs/>
          <w:sz w:val="24"/>
          <w:szCs w:val="24"/>
        </w:rPr>
        <w:t xml:space="preserve">dplyr: A grammar of data manipulation</w:t>
      </w:r>
      <w:r>
        <w:rPr>
          <w:rFonts w:ascii="Times New Roman" w:cs="Times New Roman" w:eastAsia="Times New Roman" w:hAnsi="Times New Roman"/>
          <w:sz w:val="24"/>
          <w:szCs w:val="24"/>
        </w:rPr>
        <w:t xml:space="preserve">. R package version 1.1.4.</w:t>
      </w:r>
    </w:p>
    <w:p>
      <w:pPr>
        <w:pBdr>
          <w:top w:val="single" w:color="888888" w:sz="2" w:space="1"/>
        </w:pBdr>
        <w:spacing w:after="160" w:before="480"/>
      </w:pPr>
    </w:p>
    <w:p>
      <w:pPr>
        <w:spacing w:after="120" w:before="0"/>
      </w:pPr>
      <w:r>
        <w:rPr>
          <w:rFonts w:ascii="Times New Roman" w:cs="Times New Roman" w:eastAsia="Times New Roman" w:hAnsi="Times New Roman"/>
          <w:b/>
          <w:bCs/>
          <w:color w:val="888888"/>
          <w:sz w:val="22"/>
          <w:szCs w:val="22"/>
        </w:rPr>
        <w:t xml:space="preserve">Author notes for revision</w:t>
      </w:r>
    </w:p>
    <w:p>
      <w:pPr>
        <w:spacing w:after="80" w:before="0"/>
      </w:pPr>
      <w:r>
        <w:rPr>
          <w:rFonts w:ascii="Times New Roman" w:cs="Times New Roman" w:eastAsia="Times New Roman" w:hAnsi="Times New Roman"/>
          <w:i/>
          <w:iCs/>
          <w:color w:val="555555"/>
          <w:sz w:val="20"/>
          <w:szCs w:val="20"/>
        </w:rPr>
        <w:t xml:space="preserve">1.  Slope threshold (0.01 day⁻¹): Flagged for sensitivity analysis before submission. Consider reporting how many events are detected across a range of thresholds (e.g., 0.005–0.02) in a supplemental figure.</w:t>
      </w:r>
    </w:p>
    <w:p>
      <w:pPr>
        <w:spacing w:after="80" w:before="0"/>
      </w:pPr>
      <w:r>
        <w:rPr>
          <w:rFonts w:ascii="Times New Roman" w:cs="Times New Roman" w:eastAsia="Times New Roman" w:hAnsi="Times New Roman"/>
          <w:i/>
          <w:iCs/>
          <w:color w:val="555555"/>
          <w:sz w:val="20"/>
          <w:szCs w:val="20"/>
        </w:rPr>
        <w:t xml:space="preserve">2.  Baseline citation: If the dual-component baseline approach is novel, consider framing it explicitly as such or cite any precedent from spring hydrology literature.</w:t>
      </w:r>
    </w:p>
    <w:p>
      <w:pPr>
        <w:spacing w:after="80" w:before="0"/>
      </w:pPr>
      <w:r>
        <w:rPr>
          <w:rFonts w:ascii="Times New Roman" w:cs="Times New Roman" w:eastAsia="Times New Roman" w:hAnsi="Times New Roman"/>
          <w:i/>
          <w:iCs/>
          <w:color w:val="555555"/>
          <w:sz w:val="20"/>
          <w:szCs w:val="20"/>
        </w:rPr>
        <w:t xml:space="preserve">3.  Metabolism model cross-reference: A placeholder for the cross-reference to the stream metabolism estimation subsection is included in parentheses; update with correct section heading once the full Methods is assembled.</w:t>
      </w:r>
    </w:p>
    <w:p>
      <w:pPr>
        <w:spacing w:after="80" w:before="0"/>
      </w:pPr>
      <w:r>
        <w:rPr>
          <w:rFonts w:ascii="Times New Roman" w:cs="Times New Roman" w:eastAsia="Times New Roman" w:hAnsi="Times New Roman"/>
          <w:i/>
          <w:iCs/>
          <w:color w:val="555555"/>
          <w:sz w:val="20"/>
          <w:szCs w:val="20"/>
        </w:rPr>
        <w:t xml:space="preserve">4.  R version: Update the version number to match the version used in final analyses.</w:t>
      </w:r>
    </w:p>
    <w:p>
      <w:pPr>
        <w:spacing w:after="80" w:before="0"/>
      </w:pPr>
      <w:r>
        <w:rPr>
          <w:rFonts w:ascii="Times New Roman" w:cs="Times New Roman" w:eastAsia="Times New Roman" w:hAnsi="Times New Roman"/>
          <w:i/>
          <w:iCs/>
          <w:color w:val="555555"/>
          <w:sz w:val="20"/>
          <w:szCs w:val="20"/>
        </w:rPr>
        <w:t xml:space="preserve">5.  Journal formatting: This draft uses double-spaced 12-pt Times New Roman. Reformat to target journal style (Freshwater Ecology) before submission.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Howley et al. — Methods: Isolating Flood Impacts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2026-05-11T20:21:17.930Z</dcterms:created>
  <dcterms:modified xsi:type="dcterms:W3CDTF">2026-05-11T20:21:17.931Z</dcterms:modified>
</cp:coreProperties>
</file>

<file path=docProps/custom.xml><?xml version="1.0" encoding="utf-8"?>
<Properties xmlns="http://schemas.openxmlformats.org/officeDocument/2006/custom-properties" xmlns:vt="http://schemas.openxmlformats.org/officeDocument/2006/docPropsVTypes"/>
</file>