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cus2q6z6zqj" w:id="0"/>
      <w:bookmarkEnd w:id="0"/>
      <w:r w:rsidDel="00000000" w:rsidR="00000000" w:rsidRPr="00000000">
        <w:rPr>
          <w:rtl w:val="0"/>
        </w:rPr>
        <w:t xml:space="preserve">Relazione sistemi . Es.5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643hvgo3kj6" w:id="1"/>
      <w:bookmarkEnd w:id="1"/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orfzmz2n2vdt" w:id="2"/>
      <w:bookmarkEnd w:id="2"/>
      <w:r w:rsidDel="00000000" w:rsidR="00000000" w:rsidRPr="00000000">
        <w:rPr>
          <w:rtl w:val="0"/>
        </w:rPr>
        <w:t xml:space="preserve">Calcolo subnet: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igc171vqe090" w:id="3"/>
      <w:bookmarkEnd w:id="3"/>
      <w:r w:rsidDel="00000000" w:rsidR="00000000" w:rsidRPr="00000000">
        <w:rPr>
          <w:rtl w:val="0"/>
        </w:rPr>
        <w:t xml:space="preserve">Numero subnet: 3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7bawdg91qw5" w:id="4"/>
      <w:bookmarkEnd w:id="4"/>
      <w:r w:rsidDel="00000000" w:rsidR="00000000" w:rsidRPr="00000000">
        <w:rPr>
          <w:rtl w:val="0"/>
        </w:rPr>
        <w:t xml:space="preserve">Max host per subnet: 254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osbbkggqh6st" w:id="5"/>
      <w:bookmarkEnd w:id="5"/>
      <w:r w:rsidDel="00000000" w:rsidR="00000000" w:rsidRPr="00000000">
        <w:rPr>
          <w:rtl w:val="0"/>
        </w:rPr>
        <w:t xml:space="preserve">Max host totali: 762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mt5eu3626g9" w:id="6"/>
      <w:bookmarkEnd w:id="6"/>
      <w:r w:rsidDel="00000000" w:rsidR="00000000" w:rsidRPr="00000000">
        <w:rPr>
          <w:rtl w:val="0"/>
        </w:rPr>
        <w:t xml:space="preserve">Ping: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nqmqkfyf9mqk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PC0 → PC1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800377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136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00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3gbwacnaj7sl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PC2 → PC3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429250" cy="18764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52dprp817o4m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PC4 → PC5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476875" cy="179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4incu1hqf11q" w:id="10"/>
      <w:bookmarkEnd w:id="10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Non si può eseguire il ping tra le diverse subnet dato che appartengono a reti diverse.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fkyfjvmbp2te" w:id="11"/>
      <w:bookmarkEnd w:id="11"/>
      <w:r w:rsidDel="00000000" w:rsidR="00000000" w:rsidRPr="00000000">
        <w:rPr>
          <w:rtl w:val="0"/>
        </w:rPr>
        <w:t xml:space="preserve">Configurazione Router: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ogni interfaccia utilizzata, in questo caso la 0/0, 1/0 e 2/0 si imposta l’indirizzo del gateway per la subnet collegata alla tale interfaccia e la subnet mask verrà automaticamente generata.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pba0jti9dp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kyxaklt3tmlp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dedmlpamxsm1" w:id="14"/>
      <w:bookmarkEnd w:id="14"/>
      <w:r w:rsidDel="00000000" w:rsidR="00000000" w:rsidRPr="00000000">
        <w:rPr>
          <w:rtl w:val="0"/>
        </w:rPr>
        <w:t xml:space="preserve">Configurazione Host: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19050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 ogni host si imposta il nome da visualizzare e il gateway della subnet a cui appartiene, in questo caso, dato che si tratta del PC0 (collegato alla prima subnet) l’indirizzo del gateway sarà quello assegnato alla prima interfaccia del router, 192.168.0.1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371975" cy="1924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va poi ad impostare l’indirizzo dell’host nella subnet e la subnet mask verrà automaticamente generata in base all’indirizzo inserito.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