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todas as curvas de oferta e as avaliações com potência fixa deste capítulo foram calculadas com a fronteira da relaxação, de modo que os casos sejam comparáveis entre si.3,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72,0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R$ 72,0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1.230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4.6.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4.6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4.7):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4.7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4.7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4.8 resume, para a receita fixa de referência, a potência ótima, o lucro e a operação média de cada caso.</w:t>
      </w:r>
    </w:p>
    <w:p>
      <w:pPr>
        <w:pStyle w:val="Legenda"/>
      </w:pPr>
      <w:r>
        <w:t xml:space="preserve">Tabela 4.8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475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4.2).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4.9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475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4.10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4.11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4.12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4.4).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4.2).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2026-10-15T23:48:44Z</dcterms:created>
  <dcterms:modified xsi:type="dcterms:W3CDTF">2026-10-15T23:48:44Z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