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construção da curva de oferta no leilão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3.8.4).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(3.5), com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σ</m:t>
            </m:r>
          </m:e>
        </m:acc>
        <m:r>
          <m:t>ρ</m:t>
        </m:r>
      </m:oMath>
      <w:r>
        <w:t xml:space="preserve"> </w:t>
      </w:r>
      <w:r>
        <w:t xml:space="preserve">(módulo inicialmente carregado):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valor que corresponde a ressarcir o comprador pelo produto que ele precisará adquirir de outro fornecedor.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3.8.2.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O custo de degradação pode ser estimado como o custo de reposição dos módulos de bateria dividido pela energia que eles descarregam ao longo da vida útil.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obtém-se entre R$ 120 e R$ 185 por MWh descarregado. O valor de R$ 50/MWh adotado no caso de referência situa-se abaixo dessa faixa; por isso, o efeito de valores de R$ 100 e R$ 200/MWh é avaliado na Seção 3.8.3.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blocos;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1be5cdf3d160ac75d13eea8d7b66bea13b76fa0"/>
    <w:p>
      <w:pPr>
        <w:pStyle w:val="Heading2"/>
      </w:pPr>
      <w:r>
        <w:t xml:space="preserve">3.8 Curva de oferta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 procedimento utilizado para obter essa relação — a curva de oferta — e os casos de sensibilidade avaliados com ele.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3.8.4.</w:t>
      </w:r>
    </w:p>
    <w:bookmarkEnd w:id="37"/>
    <w:bookmarkStart w:id="38" w:name="frequência-do-despacho-do-ons"/>
    <w:p>
      <w:pPr>
        <w:pStyle w:val="Heading3"/>
      </w:pPr>
      <w:r>
        <w:t xml:space="preserve">3.8.2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bookmarkEnd w:id="38"/>
    <w:bookmarkStart w:id="39" w:name="casos-avaliados"/>
    <w:p>
      <w:pPr>
        <w:pStyle w:val="Heading3"/>
      </w:pPr>
      <w:r>
        <w:t xml:space="preserve">3.8.3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vedação à importação de energia da rede,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mil/(MW·ano).</w:t>
      </w:r>
    </w:p>
    <w:bookmarkEnd w:id="39"/>
    <w:bookmarkStart w:id="40" w:name="viabilidade-econômica-e-lance-mínimo"/>
    <w:p>
      <w:pPr>
        <w:pStyle w:val="Heading3"/>
      </w:pPr>
      <w:r>
        <w:t xml:space="preserve">3.8.4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Hipótese do autor; o O&amp;M variável do eletrolisador e a degradação do BESS já estão no modelo de operação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8,0% e 12,1%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geração, após e antes de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lucro operacional não considera tributos sobre a renda, o VPL calculado com a taxa após impostos é otimista; a taxa antes de impostos fornece uma avaliação mais conservadora.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</m:oMath>
      <w:r>
        <w:t xml:space="preserve">. A potência ofertada passa a ser dada pela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Q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Q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para as três faixas de investimento e para as duas taxas de desconto do Quadro 3.3.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3.8.2),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descarga, e seu valor de referência (R$ 50/MWh) é inferior à estimativa baseada no custo de reposição dos módulos, o que é tratado por análise de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condições cíclicas semanais:</w:t>
      </w:r>
      <w:r>
        <w:t xml:space="preserve"> </w:t>
      </w:r>
      <w:r>
        <w:t xml:space="preserve">a decomposição impõe que os estados de armazenamento retornem ao valor inicial ao final de cada semana, impedindo transferências de energia ou de hidrogênio entre semanas; o efeito dessa restrição é verificado com blocos de até 28 dias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 é um valor de referência ainda não calibrado com contratos reais;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sem tributos sobre a renda, sem financiamento, sem valor residual e com custo de O&amp;M fixo hipotético, e utiliza o lucro operacional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2026-10-04T20:52:59Z</dcterms:created>
  <dcterms:modified xsi:type="dcterms:W3CDTF">2026-10-04T20:52:59Z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