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3.png" ContentType="image/png"/>
  <Override PartName="/word/media/rId34.png" ContentType="image/png"/>
  <Override PartName="/word/media/rId37.png" ContentType="image/png"/>
  <Override PartName="/word/media/rId44.png" ContentType="image/png"/>
  <Override PartName="/word/media/rId13.png" ContentType="image/png"/>
  <Override PartName="/word/media/rId30.png" ContentType="image/png"/>
  <Override PartName="/word/media/rId2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hipotético de 60 MW e 300 MWh, conectada ao submercado SE/CO. Salvo indicação em contrário, os resultados das Seções 4.2 a 4.6 e 4.8 correspondem ao lucro esperado nos cinco cenários anuais de 2021 a 2025 (Seção 3.7.2), em valores de dezembro de 2025; as Seções 4.1 e 4.7 e a análise da decomposição na Seção 4.8 utilizam o caso determinístico de 2025 (Seção 3.5). A Seção 4.1 apresenta o caso determinístico de 2025, que serve de referência para o desempenho do método de solução; a Seção 4.2, a decisão de contratação e a operação no modelo estocástico; a Seção 4.3, o valor da solução estocástica e da informação perfeita; a Seção 4.4, a curva de oferta no leilão; a Seção 4.5, o efeito do contrato de hidrogênio e da importação de energia; a Seção 4.6, o efeito da frequência do despacho do ONS; a Seção 4.7, a sensibilidade à receita fixa e ao preço do hidrogênio; a Seção 4.8, a robustez dos resultados ao custo de degradação, ao dimensionamento e à decomposição; a Seção 4.9, a viabilidade econômica e o lance mínimo; e a Seção 4.10 sintetiza os resultados.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 e a multa contratual por déficit de hidrogênio — tem caráter provisório, conforme discutido na Seção 3.5. Por isso, a ênfase deste capítulo recai sobre as relações entre as decisões e as hipóteses, e não sobre os valores absolutos de lucro.</w:t>
      </w:r>
    </w:p>
    <w:bookmarkStart w:id="12" w:name="Xc67fa1b47bfeb8d63423723fc053b3dded1a697"/>
    <w:p>
      <w:pPr>
        <w:pStyle w:val="Heading2"/>
      </w:pPr>
      <w:r>
        <w:t xml:space="preserve">4.1 Caso determinístico de 2025 e desempenho do método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Seção 4.2.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As diferenças de composição decorrem principalmente do preço. Embora a série ERA5 de 2025 apresente fator de capacidade FV ligeiramente inferior ao da média dos cenários SARAH-3 (16,9% contra 17,5%), o caso determinístico produz mais hidrogênio. No modelo estocástico, os picos de PLD do cenário de 2021, que superam o valor da energia no eletrolisador, tornam a exportação ao MCP mais vantajosa em parte das horas, o que eleva a receita média no mercado de curto prazo e reduz a produção de hidrogênio. A coincidência das potências ótimas antecipa o resultado da Seção 4.3: a variação entre anos pouco altera a decisão de contratação.</w:t>
      </w:r>
    </w:p>
    <w:bookmarkEnd w:id="12"/>
    <w:bookmarkStart w:id="16" w:name="X56b8d8d6087674c35fe11f865ddd535a2471b8b"/>
    <w:p>
      <w:pPr>
        <w:pStyle w:val="Heading2"/>
      </w:pPr>
      <w:r>
        <w:t xml:space="preserve">4.2 Decisão de contratação no modelo estocástico</w:t>
      </w:r>
    </w:p>
    <w:p>
      <w:pPr>
        <w:pStyle w:val="FirstParagraph"/>
      </w:pPr>
      <w:r>
        <w:t xml:space="preserve">A Figura 4.2(a)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4.2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estocastico_unifei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4.2,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seções seguintes.</w:t>
      </w:r>
    </w:p>
    <w:p>
      <w:pPr>
        <w:pStyle w:val="BodyText"/>
      </w:pPr>
      <w:r>
        <w:t xml:space="preserve">O lucro por cenário na potência ótima é apresentado na Tabela 4.2.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4.2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retorno,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CVaR, degenerou em um único ponto: a mesma potência maximiza o lucro esperado e o lucro do pior ano,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inferior a 0,07% em todos os casos. Não há, portanto, troca entre risco e retorno nesta configuração, pois a dispersão entre os cenários pouco depende da decisão de contratação, como se observa na Figura 4.2(b): as barras de cada decisão se deslocam praticamente em paralelo entre os anos.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Seção 4.5: com o hidrogênio vendido sem limite de volume a R$ 35/kg, cada MWh destinado ao eletrolisador vale cerca de R$ 609, e o MCP tem papel secundário na operação.</w:t>
      </w:r>
    </w:p>
    <w:bookmarkEnd w:id="16"/>
    <w:bookmarkStart w:id="17" w:name="X803239abd151ab68ada138485f7ac164ea0f3ed"/>
    <w:p>
      <w:pPr>
        <w:pStyle w:val="Heading2"/>
      </w:pPr>
      <w:r>
        <w:t xml:space="preserve">4.3 Valor da solução estocástica e valor esperado da informação perfeita</w:t>
      </w:r>
    </w:p>
    <w:p>
      <w:pPr>
        <w:pStyle w:val="FirstParagraph"/>
      </w:pPr>
      <w:r>
        <w:t xml:space="preserve">A Tabela 4.3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4.3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seções seguintes mostram que outras hipóteses, não representadas nos cenários, têm efeito muito maior.</w:t>
      </w:r>
    </w:p>
    <w:bookmarkEnd w:id="17"/>
    <w:bookmarkStart w:id="21" w:name="curva-de-oferta-no-leilão"/>
    <w:p>
      <w:pPr>
        <w:pStyle w:val="Heading2"/>
      </w:pPr>
      <w:r>
        <w:t xml:space="preserve">4.4 Curva de oferta no leilão</w:t>
      </w:r>
    </w:p>
    <w:p>
      <w:pPr>
        <w:pStyle w:val="FirstParagraph"/>
      </w:pPr>
      <w:r>
        <w:t xml:space="preserve">A Figura 4.3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4.3(b)). A receita mínima de entrada é de R$ 76 mil/(MW·ano) e a receita necessária para ofertar toda a potência do BESS é de R$ 895 mil/(MW·ano).</w:t>
      </w:r>
    </w:p>
    <w:p>
      <w:pPr>
        <w:pStyle w:val="Legenda"/>
      </w:pPr>
      <w:r>
        <w:t xml:space="preserve">Figura 4.3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iguras/curva_ofe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4.3(c)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em todos os casos avaliados (R$ 76 mil a R$ 96 mil/(MW·ano)), muito inferior a qualquer receita fixa plausível para sistemas de armazenamento. Por outro lado, a quantidade a ofertar acima de cerca de 40 MW é sensível tanto ao preço quanto às hipóteses sobre o hidrogênio, como mostra a seção seguinte.</w:t>
      </w:r>
    </w:p>
    <w:bookmarkEnd w:id="21"/>
    <w:bookmarkStart w:id="22" w:name="Xecdbf8e9b0c8cf7cf478028b36aa5fe92ae5811"/>
    <w:p>
      <w:pPr>
        <w:pStyle w:val="Heading2"/>
      </w:pPr>
      <w:r>
        <w:t xml:space="preserve">4.5 Contrato de hidrogênio e importação de energia</w:t>
      </w:r>
    </w:p>
    <w:p>
      <w:pPr>
        <w:pStyle w:val="FirstParagraph"/>
      </w:pPr>
      <w:r>
        <w:t xml:space="preserve">A Tabela 4.4 resume, para a receita fixa de referência, a potência ótima, o lucro e a operação média de cada caso.</w:t>
      </w:r>
    </w:p>
    <w:p>
      <w:pPr>
        <w:pStyle w:val="Legenda"/>
      </w:pPr>
      <w:r>
        <w:t xml:space="preserve">Tabela 4.4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25,1</w:t>
            </w:r>
          </w:p>
        </w:tc>
        <w:tc>
          <w:tcPr/>
          <w:p>
            <w:pPr>
              <w:pStyle w:val="Compact"/>
            </w:pPr>
            <w:r>
              <w:t xml:space="preserve">36,2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719</w:t>
            </w:r>
          </w:p>
        </w:tc>
        <w:tc>
          <w:tcPr/>
          <w:p>
            <w:pPr>
              <w:pStyle w:val="Compact"/>
            </w:pPr>
            <w:r>
              <w:t xml:space="preserve">1.035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  <w:tc>
          <w:tcPr/>
          <w:p>
            <w:pPr>
              <w:pStyle w:val="Compact"/>
            </w:pPr>
            <w:r>
              <w:t xml:space="preserve">61,0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  <w:tc>
          <w:tcPr/>
          <w:p>
            <w:pPr>
              <w:pStyle w:val="Compact"/>
            </w:pPr>
            <w:r>
              <w:t xml:space="preserve">1.753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367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37,4 GWh). O módulo mercantil perde a função de abastecer o eletrolisador à noite, e seu valor passa a ser o da arbitragem de preços no MCP, muito inferior. O custo de oportunidade do último MW cai de R$ 895 mil para R$ 228 mil/(MW·ano), e o ótimo passa a ser contratar toda a potência. O lucro diminui R$ 6,8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61 t por ano (5,6% do volume contratado), concentrado nos períodos de menor irradiância, e a multa correspondente, de R$ 2,1 milhões por ano, explica a maior parte da redução do lucro. A curva de custo de oportunidade torna-se ainda mais íngreme no extremo superior: o último MW custa R$ 1,75 milhão/(MW·ano), pois sua contratação aumentaria o déficit. A potência ótima permanece em 55 MW.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8,9 GWh por ano, usados para eliminar o déficit de entrega, e o lucro supera o do caso de referência em apenas R$ 0,7 milhão por ano.</w:t>
      </w:r>
    </w:p>
    <w:p>
      <w:pPr>
        <w:pStyle w:val="BodyText"/>
      </w:pPr>
      <w:r>
        <w:t xml:space="preserve">Esses resultados indicam que a arbitragem entre o LRCAP e o MCP, que dá título a este trabalho,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22"/>
    <w:bookmarkStart w:id="26" w:name="frequência-do-despacho-do-ons"/>
    <w:p>
      <w:pPr>
        <w:pStyle w:val="Heading2"/>
      </w:pPr>
      <w:r>
        <w:t xml:space="preserve">4.6 Frequência do despacho do ONS</w:t>
      </w:r>
    </w:p>
    <w:p>
      <w:pPr>
        <w:pStyle w:val="FirstParagraph"/>
      </w:pPr>
      <w:r>
        <w:t xml:space="preserve">A Figura 4.4 e a Tabela 4.5 apresentam a curva de oferta do caso de referência para 50, 150 e 365 despachos por ano.</w:t>
      </w:r>
    </w:p>
    <w:p>
      <w:pPr>
        <w:pStyle w:val="Legenda"/>
      </w:pPr>
      <w:r>
        <w:t xml:space="preserve">Figura 4.4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as/curva_oferta_ciclo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4.5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4.4(b)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(3.41).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bookmarkEnd w:id="26"/>
    <w:bookmarkStart w:id="33" w:name="X5d7116e36aa75b714ebe85263b9b5917fb83cc3"/>
    <w:p>
      <w:pPr>
        <w:pStyle w:val="Heading2"/>
      </w:pPr>
      <w:r>
        <w:t xml:space="preserve">4.7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a 10% a.a. em 15 anos resulta em R$ 657 mil a R$ 789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4.5.</w:t>
      </w:r>
    </w:p>
    <w:p>
      <w:pPr>
        <w:pStyle w:val="Legenda"/>
      </w:pPr>
      <w:r>
        <w:t xml:space="preserve">Figura 4.5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4.6).</w:t>
      </w:r>
    </w:p>
    <w:p>
      <w:pPr>
        <w:pStyle w:val="Legenda"/>
      </w:pPr>
      <w:r>
        <w:t xml:space="preserve">Figura 4.6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4.5 e 4.6 são coerentes com a curva de oferta da Seção 4.4,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33"/>
    <w:bookmarkStart w:id="40" w:name="X1203ebb6f0abb2de2d21fa3870bc326cfdd3939"/>
    <w:p>
      <w:pPr>
        <w:pStyle w:val="Heading2"/>
      </w:pPr>
      <w:r>
        <w:t xml:space="preserve">4.8 Robustez: degradação, dimensionamento e decomposição</w:t>
      </w:r>
    </w:p>
    <w:p>
      <w:pPr>
        <w:pStyle w:val="FirstParagraph"/>
      </w:pPr>
      <w:r>
        <w:t xml:space="preserve">Esta seção avalia três hipóteses que poderiam alterar as conclusões anteriores: o custo de degradação do BESS, o dimensionamento do eletrolisador e do tanque de hidrogênio e as condições cíclicas impostas pela decomposição em blocos semanais.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4.7 e a Tabela 4.6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4.7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degradacao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4.6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854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4.7(b):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4.8 e a Tabela 4.7 comparam eletrolisadores de 10, 17,5 e 25 MW, mantida a usina FV de 50 MWp.</w:t>
      </w:r>
    </w:p>
    <w:p>
      <w:pPr>
        <w:pStyle w:val="Legenda"/>
      </w:pPr>
      <w:r>
        <w:t xml:space="preserve">Figura 4.8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as/curva_oferta_eletrolisador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4.7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não alterou o resultado: o déficit anual de entrega permaneceu em 61 t e a curva de oferta foi idêntica. O déficit decorre da capacidade de produção, e não da armazenagem: a entrega de 3 t/dia exige cerca de 9,4 h diárias de operação na potência nominal, o que não é alcançado nos dias de baixa irradiância, mesmo com o tanque capaz de acumular a produção de dias anteriores.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bookmarkEnd w:id="40"/>
    <w:bookmarkStart w:id="47" w:name="viabilidade-econômica-e-lance-mínimo"/>
    <w:p>
      <w:pPr>
        <w:pStyle w:val="Heading2"/>
      </w:pPr>
      <w:r>
        <w:t xml:space="preserve">4.9 Viabilidade econômica e lance mínimo</w:t>
      </w:r>
    </w:p>
    <w:p>
      <w:pPr>
        <w:pStyle w:val="FirstParagraph"/>
      </w:pPr>
      <w:r>
        <w:t xml:space="preserve">As seções anteriores analisaram o lucro operacional, sem os custos de investimento. Esta seção avalia se o empreendimento se paga e qual receita fixa justificaria construir o BESS, segundo o procedimento da Seção 3.8.4. Os resultados são apresentados na Tabela 4.8 e na Figura 4.9.</w:t>
      </w:r>
    </w:p>
    <w:p>
      <w:pPr>
        <w:pStyle w:val="Legenda"/>
      </w:pPr>
      <w:r>
        <w:t xml:space="preserve">Tabela 4.8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−295 (−461 a −81)</w:t>
            </w:r>
          </w:p>
        </w:tc>
        <w:tc>
          <w:tcPr/>
          <w:p>
            <w:pPr>
              <w:pStyle w:val="Compact"/>
            </w:pPr>
            <w:r>
              <w:t xml:space="preserve">−386</w:t>
            </w:r>
          </w:p>
        </w:tc>
        <w:tc>
          <w:tcPr/>
          <w:p>
            <w:pPr>
              <w:pStyle w:val="Compact"/>
            </w:pPr>
            <w:r>
              <w:t xml:space="preserve">0,6%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61,3</w:t>
            </w:r>
          </w:p>
        </w:tc>
        <w:tc>
          <w:tcPr/>
          <w:p>
            <w:pPr>
              <w:pStyle w:val="Compact"/>
            </w:pPr>
            <w:r>
              <w:t xml:space="preserve">−353 (−520 a −140)</w:t>
            </w:r>
          </w:p>
        </w:tc>
        <w:tc>
          <w:tcPr/>
          <w:p>
            <w:pPr>
              <w:pStyle w:val="Compact"/>
            </w:pPr>
            <w:r>
              <w:t xml:space="preserve">−432</w:t>
            </w:r>
          </w:p>
        </w:tc>
        <w:tc>
          <w:tcPr/>
          <w:p>
            <w:pPr>
              <w:pStyle w:val="Compact"/>
            </w:pPr>
            <w:r>
              <w:t xml:space="preserve">−1,2%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64,3</w:t>
            </w:r>
          </w:p>
        </w:tc>
        <w:tc>
          <w:tcPr/>
          <w:p>
            <w:pPr>
              <w:pStyle w:val="Compact"/>
            </w:pPr>
            <w:r>
              <w:t xml:space="preserve">−327 (−494 a −113)</w:t>
            </w:r>
          </w:p>
        </w:tc>
        <w:tc>
          <w:tcPr/>
          <w:p>
            <w:pPr>
              <w:pStyle w:val="Compact"/>
            </w:pPr>
            <w:r>
              <w:t xml:space="preserve">−412</w:t>
            </w:r>
          </w:p>
        </w:tc>
        <w:tc>
          <w:tcPr/>
          <w:p>
            <w:pPr>
              <w:pStyle w:val="Compact"/>
            </w:pPr>
            <w:r>
              <w:t xml:space="preserve">−0,4%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−120 (−287 a +94)</w:t>
            </w:r>
          </w:p>
        </w:tc>
        <w:tc>
          <w:tcPr/>
          <w:p>
            <w:pPr>
              <w:pStyle w:val="Compact"/>
            </w:pPr>
            <w:r>
              <w:t xml:space="preserve">−248</w:t>
            </w:r>
          </w:p>
        </w:tc>
        <w:tc>
          <w:tcPr/>
          <w:p>
            <w:pPr>
              <w:pStyle w:val="Compact"/>
            </w:pPr>
            <w:r>
              <w:t xml:space="preserve">5,2%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68,8</w:t>
            </w:r>
          </w:p>
        </w:tc>
        <w:tc>
          <w:tcPr/>
          <w:p>
            <w:pPr>
              <w:pStyle w:val="Compact"/>
            </w:pPr>
            <w:r>
              <w:t xml:space="preserve">−289 (−455 a −75)</w:t>
            </w:r>
          </w:p>
        </w:tc>
        <w:tc>
          <w:tcPr/>
          <w:p>
            <w:pPr>
              <w:pStyle w:val="Compact"/>
            </w:pPr>
            <w:r>
              <w:t xml:space="preserve">−382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−259 (−400 a −91)</w:t>
            </w:r>
          </w:p>
        </w:tc>
        <w:tc>
          <w:tcPr/>
          <w:p>
            <w:pPr>
              <w:pStyle w:val="Compact"/>
            </w:pPr>
            <w:r>
              <w:t xml:space="preserve">−341</w:t>
            </w:r>
          </w:p>
        </w:tc>
        <w:tc>
          <w:tcPr/>
          <w:p>
            <w:pPr>
              <w:pStyle w:val="Compact"/>
            </w:pPr>
            <w:r>
              <w:t xml:space="preserve">0,7%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813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−351 (−542 a −91)</w:t>
            </w:r>
          </w:p>
        </w:tc>
        <w:tc>
          <w:tcPr/>
          <w:p>
            <w:pPr>
              <w:pStyle w:val="Compact"/>
            </w:pPr>
            <w:r>
              <w:t xml:space="preserve">−447</w:t>
            </w:r>
          </w:p>
        </w:tc>
        <w:tc>
          <w:tcPr/>
          <w:p>
            <w:pPr>
              <w:pStyle w:val="Compact"/>
            </w:pPr>
            <w:r>
              <w:t xml:space="preserve">0,0%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732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−408 (−574 a −194)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−3,0%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</w:tbl>
    <w:p>
      <w:pPr>
        <w:pStyle w:val="Fonte"/>
      </w:pPr>
      <w:r>
        <w:t xml:space="preserve">Fonte: elaborado pelo autor. Investimento, TIR e preço de equilíbrio do H₂ (H₂ eq., à taxa de 8,0%) com investimento central; entre parênteses, VPL com investimento alto e baixo.</w:t>
      </w:r>
    </w:p>
    <w:p>
      <w:pPr>
        <w:pStyle w:val="BodyText"/>
      </w:pPr>
      <w:r>
        <w:t xml:space="preserve">Com os parâmetros adotados, nenhum caso é economicamente viável com investimento central. No caso de referência, o investimento de R$ 732 milhões — R$ 213 milhões na usina FV, R$ 330 milhões no BESS e R$ 189 milhões no eletrolisador — gera fluxo anual de R$ 51 milhões, após R$ 17 milhões de O&amp;M fixo, e a TIR real é de apenas 0,6%. O preço do hidrogênio que tornaria o VPL nulo à taxa de 8% é de cerca de R$ 68/kg, praticamente o dobro do valor adotado. O único caso com VPL positivo é o de importação de energia com investimentos no limite inferior das faixas (R$ 94 milhões), o que reforça a importância da regra de suprimento do eletrolisador identificada na Seção 4.5.</w:t>
      </w:r>
    </w:p>
    <w:p>
      <w:pPr>
        <w:pStyle w:val="Legenda"/>
      </w:pPr>
      <w:r>
        <w:t xml:space="preserve">Figura 4.9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viabilidad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R$ 68,1 milhões. O ganho de R$ 32,8 milhões por ano não cobre o custo anual equivalente do BESS, de R$ 46,8 milhões à taxa de 8% com investimento central (Figura 4.9(b)). Sem a receita do leilão, a bateria agrega apenas R$ 9,7 milhões por ano, provenientes do suprimento noturno do eletrolisador e da arbitragem no MCP;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4.10 compara a curva de oferta de um BESS já existente, obtida na Seção 4.4, com a de um BESS a construir, e a Tabela 4.9 apresenta o lance mínimo para cada faixa de investimento e taxa de desconto.</w:t>
      </w:r>
    </w:p>
    <w:p>
      <w:pPr>
        <w:pStyle w:val="Legenda"/>
      </w:pPr>
      <w:r>
        <w:t xml:space="preserve">Figura 4.10 – Curva de oferta com o investimento no BESS: (a) potência ótima a ofertar com BESS existente e a construir; (b) lance mínimo por faixa de investimento e taxa de desconto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curva_oferta_investiment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4.9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780 (57,5 MW)</w:t>
            </w:r>
          </w:p>
        </w:tc>
        <w:tc>
          <w:tcPr/>
          <w:p>
            <w:pPr>
              <w:pStyle w:val="Compact"/>
            </w:pPr>
            <w:r>
              <w:t xml:space="preserve">855 (57,5 MW)</w:t>
            </w:r>
          </w:p>
        </w:tc>
        <w:tc>
          <w:tcPr/>
          <w:p>
            <w:pPr>
              <w:pStyle w:val="Compact"/>
            </w:pPr>
            <w:r>
              <w:t xml:space="preserve">925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</w:t>
            </w:r>
          </w:p>
        </w:tc>
        <w:tc>
          <w:tcPr/>
          <w:p>
            <w:pPr>
              <w:pStyle w:val="Compact"/>
            </w:pPr>
            <w:r>
              <w:t xml:space="preserve">940 (60 MW)</w:t>
            </w:r>
          </w:p>
        </w:tc>
        <w:tc>
          <w:tcPr/>
          <w:p>
            <w:pPr>
              <w:pStyle w:val="Compact"/>
            </w:pPr>
            <w:r>
              <w:t xml:space="preserve">1.025 (60 MW)</w:t>
            </w:r>
          </w:p>
        </w:tc>
        <w:tc>
          <w:tcPr/>
          <w:p>
            <w:pPr>
              <w:pStyle w:val="Compact"/>
            </w:pPr>
            <w:r>
              <w:t xml:space="preserve">1.110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entre 57,5 e 60 MW. A curva escalonada das Seções 4.4 a 4.8 descreve, portanto, a decisão de um proponente que já dispõe do BESS. O lance mínimo no caso central, de R$ 855 mil/(MW·ano), é praticamente igual à soma do custo anual equivalente do BESS por MW (R$ 780 mil) com o custo de degradação do despacho diário do módulo LRCAP (R$ 73 mil), o que indica que o uso mercantil da bateria pouco reduz o lance quando ela é construída para o leilão. Esse valor é próximo do preço médio obtido por termelétricas existentes no LRCAP de março de 2026 (R$ 831 mil/(MW·ano)) e muito inferior ao das termelétricas e hidrelétricas do leilão anterior (R$ 2,33 milhões/(MW·ano)), o que sugere que o armazenamento em baterias é competitivo frente à expansão térmica, mas não frente às usinas existentes. A receita de R$ 600 mil/(MW·ano) adotada no caso de referência é inferior ao lance mínimo em todas as combinações avaliadas: com ela, um proponente racional não construiria o BESS.</w:t>
      </w:r>
    </w:p>
    <w:bookmarkEnd w:id="47"/>
    <w:bookmarkStart w:id="48" w:name="síntese"/>
    <w:p>
      <w:pPr>
        <w:pStyle w:val="Heading2"/>
      </w:pPr>
      <w:r>
        <w:t xml:space="preserve">4.10 Síntese</w:t>
      </w:r>
    </w:p>
    <w:p>
      <w:pPr>
        <w:pStyle w:val="FirstParagraph"/>
      </w:pPr>
      <w:r>
        <w:t xml:space="preserve">Os resultados permitem hierarquizar os fatores que determinam a decisão de contratação no LRCAP: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nos casos de contrato de hidrogênio e de importação, o custo de oportunidade marginal situa-se entre R$ 77 mil e R$ 111 mil/(MW·ano) até cerca de 37,5 MW, e a receita mínima de entrada não ultrapassa R$ 100 mil/(MW·ano); mesmo com custo de degradação de R$ 200/MWh ou eletrolisador de 10 MW, ela permanece abaixo de R$ 300 mil/(MW·ano), aquém de todas as referências de receita fixa do Quadro 4.1;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quantidade a ofertar acima de 40 MW depende do hidrogênio:</w:t>
      </w:r>
      <w:r>
        <w:t xml:space="preserve"> </w:t>
      </w:r>
      <w:r>
        <w:t xml:space="preserve">o custo de oportunidade do último MW varia de R$ 228 mil a R$ 1,75 milhão/(MW·ano) conforme a existência e o volume de um contrato de fornecimento, porque o módulo mercantil do BESS tem como principal função abastecer o eletrolisador fora do período solar;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receita fixa e o preço do hidrogênio definem a fronteira entre contratar parte ou toda a potência:</w:t>
      </w:r>
      <w:r>
        <w:t xml:space="preserve"> </w:t>
      </w:r>
      <w:r>
        <w:t xml:space="preserve">com receita igual ou superior a R$ 1,5 milhão/(MW·ano) ou hidrogênio a até R$ 20/kg, o ótimo é contratar toda a potência; o arrependimento de errar a contratação é assimétrico e favorece contratar mais;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dimensionamento do eletrolisador molda a curva de oferta:</w:t>
      </w:r>
      <w:r>
        <w:t xml:space="preserve"> </w:t>
      </w:r>
      <w:r>
        <w:t xml:space="preserve">com 10 MW, o ótimo cai para 50 MW e o custo de oportunidade parte de R$ 330 mil/(MW·ano); com 25 MW, sobe para 57,5 MW, com custo de cerca de R$ 77 mil/(MW·ano) até 45 MW; o tamanho do tanque, por sua vez, não altera o resultado;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custo de degradação afeta o lucro e o limiar de entrada, mas pouco a potência ótima:</w:t>
      </w:r>
      <w:r>
        <w:t xml:space="preserve"> </w:t>
      </w:r>
      <w:r>
        <w:t xml:space="preserve">quadruplicá-lo reduz o lucro em R$ 13 milhões por ano e desloca o ótimo em 2,5 MW;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incertezas de preço, de geração e de despacho e a aproximação da decomposição têm efeito pequeno sobre a decisão:</w:t>
      </w:r>
      <w:r>
        <w:t xml:space="preserve"> </w:t>
      </w:r>
      <w:r>
        <w:t xml:space="preserve">o modelo determinístico de 2025 e o estocástico conduzem à mesma potência ótima, a variação entre anos históricos resulta em VSS nulo e EVPI de 0,2% do lucro esperado, a frequência do despacho do ONS desloca o custo de oportunidade de um valor constante, sem alterar a potência ótima, e as condições cíclicas da decomposição semanal não restringem a operação de forma mensurável;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 os parâmetros adotados, o empreendimento não se paga, e o lance mínimo para construir o BESS é de cerca de R$ 850 mil/(MW·ano):</w:t>
      </w:r>
      <w:r>
        <w:t xml:space="preserve"> </w:t>
      </w:r>
      <w:r>
        <w:t xml:space="preserve">a TIR real do caso de referência é de 0,6%, o preço de equilíbrio do hidrogênio é de cerca de R$ 68/kg, e o lance mínimo varia de R$ 780 mil a R$ 1,11 milhão/(MW·ano) conforme o investimento e a taxa de desconto, acima da receita de referência; para um BESS a construir, a oferta é do tipo</w:t>
      </w:r>
      <w:r>
        <w:t xml:space="preserve"> </w:t>
      </w:r>
      <w:r>
        <w:t xml:space="preserve">“tudo ou nada”</w:t>
      </w:r>
      <w:r>
        <w:t xml:space="preserve">, com 57,5 a 60 MW.</w:t>
      </w:r>
    </w:p>
    <w:p>
      <w:pPr>
        <w:pStyle w:val="FirstParagraph"/>
      </w:pPr>
      <w:r>
        <w:t xml:space="preserve">Em conjunto, esses resultados indicam duas situações distintas. Para um proponente que já dispõe do BESS, a quantidade a ofertar é determinada menos pelo comportamento do mercado de energia e mais pelas condições de produção e de comercialização do hidrogênio — dimensionamento do eletrolisador, volume, preço e critério de qualificação. Para um proponente que precisa construir o BESS, situação prevista no edital para sistemas novos, a decisão é essencialmente a de participar ou não, e o lance mínimo é determinado pelo custo de investimento da bateria e pela taxa de desconto; nesse caso, o hidrogênio influencia a viabilidade do empreendimento como um todo, mas pouco a oferta no leilão.</w:t>
      </w:r>
    </w:p>
    <w:bookmarkEnd w:id="48"/>
    <w:bookmarkStart w:id="49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49"/>
    <w:bookmarkEnd w:id="50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13" Target="media/rId13.png" /><Relationship Type="http://schemas.openxmlformats.org/officeDocument/2006/relationships/image" Id="rId30" Target="media/rId30.png" /><Relationship Type="http://schemas.openxmlformats.org/officeDocument/2006/relationships/image" Id="rId27" Target="media/rId2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2026-10-04T20:53:52Z</dcterms:created>
  <dcterms:modified xsi:type="dcterms:W3CDTF">2026-10-04T20:53:52Z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