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(0,19%).3, 4.3.4 e 4.3.7, foram calculados com a fronteira da relaxação.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4.5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4.5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4.6.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4.6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4.7):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4.7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4.7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4.5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4.8 resume, para a receita fixa de referência, a potência ótima, o lucro e a operação média de cada caso.</w:t>
      </w:r>
    </w:p>
    <w:p>
      <w:pPr>
        <w:pStyle w:val="Legenda"/>
      </w:pPr>
      <w:r>
        <w:t xml:space="preserve">Tabela 4.8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4.2).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4.6 e a Tabela 4.9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4.2):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4.10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4.11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4.12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4.4).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4.2).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2026-10-16T08:56:04Z</dcterms:created>
  <dcterms:modified xsi:type="dcterms:W3CDTF">2026-10-16T08:56:04Z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