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descreve a decisão de oferta no leilão — a curva de oferta, a viabilidade econômica e o lance mínimo — e as análises de sensibilidade; a Seção 3.9 resume a implementação computacional; e a Seção 3.10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Quando o BESS ainda será construído — situação prevista na Portaria, que trata da contratação de novos sistemas de armazenamento —, essas decisões são precedidas pela decisão de investimento: construir ou não a bateria e, portanto, qual a menor receita fixa, ou lance mínimo, que justifica a construção. O trabalho considera as duas situações: a de um proponente que precisa construir o BESS, foco principal da análise, e a de um proponente que já dispõe dele, para o qual se determina quanto da capacidade contratar no leilão.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etapa, e o efeito do tamanho do eletrolisador e do tanque de hidrogênio é avaliado por análise de sensibilidade (Seção 3.8.4); para o BESS a construir, avalia-se ainda a bateria dimensionada para o contrato do leilão (Seção 3.8.3);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os custos de investimento não entram na otimização, uma vez que as capacidades são fixas, e são considerados a posteriori na análise de viabilidade econômica e do lance mínimo (Seção 3.8.2).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 Ressalta-se que essa divisão é uma interpretação da norma: a Portaria exige que toda a potência contratada esteja disponível ao ONS e que a energia do sistema contratado seja liquidada em favor da CONCAP, e admite o compartilhamento da conexão, mas não trata expressamente da contratação de parte de uma instalação, com a parcela remanescente operada no mercado sob medição individualizada. A interpretação respeita as duas exigências — o módulo mercantil não recebe receita do leilão, e o módulo LRCAP não gera receita fora dele —, mas sua aceitação deve ser confirmada no edital e nos procedimentos do ONS e da CCEE. Se a divisão não for admitida, deixa de valer a curva de oferta escalonada de um BESS existente (Seção 3.8.1), mas não o lance mínimo de um BESS dimensionado para o contrato (Seção 3.8.3), que não tem módulo mercantil e não depende dessa hipótese.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fixo, seja sem limite de volume, seja por meio de um contrato de fornecimento com entrega diária (Seção 3.4.5).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 No limite de emissões do hidrogênio (Seção 3.4.5),</w:t>
      </w:r>
      <w:r>
        <w:t xml:space="preserve"> </w:t>
      </w:r>
      <m:oMath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denota o conjunto de semanas do horizonte, cada qual tratada como o conjunto de seus intervalos.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 (sensibilidade: 100; 200)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p</m:t>
                  </m:r>
                  <m:r>
                    <m:t>a</m:t>
                  </m:r>
                  <m:r>
                    <m:t>r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por partida do eletrolisador</w:t>
            </w:r>
          </w:p>
        </w:tc>
        <w:tc>
          <w:tcPr/>
          <w:p>
            <w:pPr>
              <w:pStyle w:val="Compact"/>
            </w:pPr>
            <w:r>
              <w:t xml:space="preserve">R$/partida</w:t>
            </w:r>
          </w:p>
        </w:tc>
        <w:tc>
          <w:tcPr/>
          <w:p>
            <w:pPr>
              <w:pStyle w:val="Compact"/>
            </w:pPr>
            <w:r>
              <w:t xml:space="preserve">0 (determinístico); 500 (estocástico)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 (contrato)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 (sem contrato); 2.000 ou 3.000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máxima diária de H₂ (demanda do comprador)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ilimitada (sem contrato); igual a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Multa por kg de H₂ não entregue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 (uso da rede, encargos e tributos; Seção 3.8.4)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 (sensibilidade: 100 e 400)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Fator de emissão da energia da rede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kgCO₂/MWh</w:t>
            </w:r>
          </w:p>
        </w:tc>
        <w:tc>
          <w:tcPr/>
          <w:p>
            <w:pPr>
              <w:pStyle w:val="Compact"/>
            </w:pPr>
            <w:r>
              <w:t xml:space="preserve">série (Seção 3.5) ou 449 (marginal)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Limite de intensidade de emissões do hidrogênio</w:t>
            </w:r>
          </w:p>
        </w:tc>
        <w:tc>
          <w:tcPr/>
          <w:p>
            <w:pPr>
              <w:pStyle w:val="Compact"/>
            </w:pPr>
            <w:r>
              <w:t xml:space="preserve">kgCO₂/kgH₂</w:t>
            </w:r>
          </w:p>
        </w:tc>
        <w:tc>
          <w:tcPr/>
          <w:p>
            <w:pPr>
              <w:pStyle w:val="Compact"/>
            </w:pPr>
            <w:r>
              <w:t xml:space="preserve">sem limite (referência); 7 ou 3,4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f</m:t>
                  </m:r>
                </m:e>
                <m:sup>
                  <m:r>
                    <m:t>p</m:t>
                  </m:r>
                  <m:r>
                    <m:t>v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e</m:t>
                  </m:r>
                </m:e>
                <m:sup>
                  <m:r>
                    <m:t>p</m:t>
                  </m:r>
                  <m:r>
                    <m:t>r</m:t>
                  </m:r>
                  <m:r>
                    <m:t>o</m:t>
                  </m:r>
                  <m:r>
                    <m:t>c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Emissões atribuídas à energia FV e às demais etapas da produção de H₂</w:t>
            </w:r>
          </w:p>
        </w:tc>
        <w:tc>
          <w:tcPr/>
          <w:p>
            <w:pPr>
              <w:pStyle w:val="Compact"/>
            </w:pPr>
            <w:r>
              <w:t xml:space="preserve">kgCO₂/MWh; kgCO₂/kg</w:t>
            </w:r>
          </w:p>
        </w:tc>
        <w:tc>
          <w:tcPr/>
          <w:p>
            <w:pPr>
              <w:pStyle w:val="Compact"/>
            </w:pPr>
            <w:r>
              <w:t xml:space="preserve">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 (sensibilidade: 330.000 a 2.334.000)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N</m:t>
                  </m:r>
                </m:e>
                <m:sup>
                  <m:r>
                    <m:t>o</m:t>
                  </m:r>
                  <m:r>
                    <m:t>n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Número de despachos do ONS por ano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365 (sensibilidade: 50; 150)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q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Déficit de entrega de H₂ no dia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Partida do eletrolisador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p</m:t>
                        </m:r>
                        <m:r>
                          <m:t>a</m:t>
                        </m:r>
                        <m:r>
                          <m:t>r</m:t>
                        </m:r>
                        <m:r>
                          <m:t>t</m:t>
                        </m:r>
                      </m:sup>
                    </m:sSup>
                  </m:e>
                </m:nary>
                <m:sSub>
                  <m:e>
                    <m:r>
                      <m:t>u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f</m:t>
                        </m:r>
                      </m:sup>
                    </m:sSup>
                  </m:e>
                </m:nary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ao custo de partida do eletrolisador, à multa por déficit de entrega de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(3.5). O perfil é calculado uma única vez para o ano civil inteiro, com condição cíclica no ano —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igual ao estado ao fim do ano —, e cada bloco da decomposição da Seção 3.6 recebe o trecho correspondente. Desse modo, o módulo inicia cada bloco no estado deixado pelo dia anterior, e a energia de recarga repõe exatamente a energia descarregada dividida pela eficiência do ciclo: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é expresso pela Equação (3.17):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Contrato de fornecimento de hidrogênio.</w:t>
      </w:r>
      <w:r>
        <w:t xml:space="preserve"> </w:t>
      </w:r>
      <w:r>
        <w:t xml:space="preserve">Sem limite de volume, o hidrogênio funciona como um consumidor de energia de capacidade ilimitada a preço fixo. Com os valores da Tabela 3.1, cada MWh entregue ao eletrolisador vale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R$ 609/MWh, valor muito superior ao PLD médio, de modo que o eletrolisador absorve quase toda a energia disponível e o MCP perde relevância. Na prática, a comercialização de hidrogênio em escala depende de contratos bilaterais com um comprador industrial, cuja demanda é limitada e cuja entrega deve ser regular. Para representar essa situação, o modelo admite um contrato de fornecimento com entrega diária entre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conforme as Equações (3.18) e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D</m:t>
                        </m:r>
                      </m:e>
                    </m:acc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A variável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</m:oMath>
      <w:r>
        <w:t xml:space="preserve"> </w:t>
      </w:r>
      <w:r>
        <w:t xml:space="preserve">representa a parcela da entrega mínima não cumprida no dia</w:t>
      </w:r>
      <w:r>
        <w:t xml:space="preserve"> </w:t>
      </w:r>
      <m:oMath>
        <m:r>
          <m:t>d</m:t>
        </m:r>
      </m:oMath>
      <w:r>
        <w:t xml:space="preserve">, sujeita à multa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na função objetivo. Sem ela, um dia de baixa irradiância tornaria o problema inviável, já que a importação de energia é vedada no caso de referência; com ela, o modelo decide entre produzir o hidrogênio, inclusive com energia previamente armazenada no BESS, e pagar a multa. Quando não há multa definida, adota-se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a entrega mínima é obrigatória. Nos casos com contrato, adota-se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isto é, um volume diário firme, 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, isto é, uma multa igual ao preço por kg não entregue. Esse valor não deve ser lido como ressarcimento do produto: se o comprador repuser o hidrogênio com outro fornecedor ao mesmo preço, seu prejuízo direto é nulo, pois ele deixa de pagar o empreendedor, e uma indenização desse tipo corresponderia apenas à diferença entre o preço de reposição e o do contrato. A multa adotada representa, antes, uma cláusula de firmeza, que remunera o custo da interrupção para um comprador que depende da entrega diária. Como o kg não entregue também deixa de ser vendido, seu custo efetivo para o empreendedor é a soma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, de R$ 70/kg, e cada MWh entregue ao eletrolisador para evitar o déficit passa a valer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R$ 1.245/MWh, o dobro do valor sem contrato. Os casos com contrato representam, portanto, um contrato praticamente firme, e o valor do BESS no seu cumprimento depende diretamente de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. Os volumes de 2.000 e 3.000 kg/dia correspondem, respectivamente, a cerca de 65% e 98% da produção média do caso sem contrato (3.060 kg/dia). Nessa configuração, o hidrogênio produzido além do volume contratado não pode ser vendido, e a energia excedente passa a ser exportada ao MCP ou vertida, o que restabelece o papel do mercado de curto prazo na arbitragem. O caso sem contrato corresponde a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ilimitado.</w:t>
      </w:r>
    </w:p>
    <w:p>
      <w:pPr>
        <w:pStyle w:val="BodyText"/>
      </w:pPr>
      <w:r>
        <w:rPr>
          <w:b/>
          <w:bCs/>
        </w:rPr>
        <w:t xml:space="preserve">Limite de emissões do hidrogênio.</w:t>
      </w:r>
      <w:r>
        <w:t xml:space="preserve"> </w:t>
      </w:r>
      <w:r>
        <w:t xml:space="preserve">No caso de referência, a vedação à importação (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assegura que o hidrogênio seja produzido apenas com energia renovável local. O marco legal do hidrogênio de baixa emissão de carbono, porém, qualifica o hidrogênio pela intensidade de emissões de gases de efeito estufa, apurada por análise de ciclo de vida, com valor inicial de até 7 kgCO₂eq/kgH₂, mantido até 2030 (BRASIL, 2024). Para representar esse critério, o modelo admite, como alternativa à vedação, um limite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à intensidade de emissões do hidrogênio. A energia importada pode ser destinada apenas ao eletrolisador, no mesmo intervalo, e é integralmente atribuída ao hidrogênio (Equação (3.20)); em cada semana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, as emissões atribuídas ao hidrogênio não podem exceder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vezes a sua produção (Equação (3.21)):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f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t> </m:t>
                        </m:r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f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v</m:t>
                            </m:r>
                          </m:sup>
                        </m:sSup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e</m:t>
                                </m:r>
                                <m:r>
                                  <m:t>l</m:t>
                                </m:r>
                              </m:sup>
                            </m:sSubSup>
                            <m:r>
                              <m:rPr>
                                <m:sty m:val="p"/>
                              </m:rPr>
                              <m:t>−</m:t>
                            </m:r>
                            <m:sSubSup>
                              <m:e>
                                <m:r>
                                  <m:t>p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  <m:sup>
                                <m:r>
                                  <m:t>i</m:t>
                                </m:r>
                                <m:r>
                                  <m:t>m</m:t>
                                </m:r>
                                <m:r>
                                  <m:t>p</m:t>
                                </m:r>
                              </m:sup>
                            </m:sSubSup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p</m:t>
                            </m:r>
                            <m:r>
                              <m:t>r</m:t>
                            </m:r>
                            <m:r>
                              <m:t>o</m:t>
                            </m:r>
                            <m:r>
                              <m:t>c</m:t>
                            </m:r>
                          </m:sup>
                        </m:sSup>
                        <m:r>
                          <m:t> </m:t>
                        </m:r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r>
                  <m:t>L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é o fator de emissão da energia da rede no intervalo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 </w:t>
      </w:r>
      <w:r>
        <w:t xml:space="preserve">é o fator atribuído à energia FV, consumida diretamente ou após o armazenamento no módulo mercantil, e</w:t>
      </w:r>
      <w:r>
        <w:t xml:space="preserve"> </w:t>
      </w:r>
      <m:oMath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</m:oMath>
      <w:r>
        <w:t xml:space="preserve"> </w:t>
      </w:r>
      <w:r>
        <w:t xml:space="preserve">representa as emissões das demais etapas por kg de hidrogênio. Pela Equação (3.16), com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p</m:t>
            </m:r>
            <m:r>
              <m:t>r</m:t>
            </m:r>
            <m:r>
              <m:t>o</m:t>
            </m:r>
            <m:r>
              <m:t>c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a restrição equivale a limitar o fator de emissão médio da energia do eletrolisador, em cada semana, a</w:t>
      </w:r>
      <w:r>
        <w:t xml:space="preserve"> </w:t>
      </w:r>
      <m:oMath>
        <m:r>
          <m:t>L</m:t>
        </m:r>
        <m:r>
          <m:t> 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/</m:t>
        </m:r>
        <m:r>
          <m:t>1000</m:t>
        </m:r>
      </m:oMath>
      <w:r>
        <w:t xml:space="preserve">: 127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e 62 kgCO₂/MWh para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. Cada MWh de origem FV consumido pelo eletrolisador abre espaço, assim, para a importação de uma fração de MWh da rede. A restrição é linear e não introduz variáveis binárias; com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, ela reproduz a vedação à importação. A janela semanal coincide com os blocos da decomposição (Seção 3.6.2), de modo que a restrição pertence integralmente a cada subproblema. O valor de 3,4 kgCO₂/kgH₂ corresponde aproximadamente ao limiar de emissões europeu para combustíveis renováveis de origem não biológica, de redução de 70% em relação ao comparador fóssil de 94 gCO₂eq/MJ (UNIÃO EUROPEIA, 2023b), e é avaliado como sensibilidade. Esse caso reproduz apenas o limiar de emissões, e não o critério europeu completo: para que a energia da rede seja contabilizada como renovável, o Regulamento Delegado (UE) 2023/1184 exige, além do limiar, contratos com instalações renováveis novas (adicionalidade) e correlação temporal e geográfica entre a produção renovável e o consumo do eletrolisador, salvo em zonas de mercado com mais de 90% de energia renovável ou com baixa intensidade de emissões (UNIÃO EUROPEIA, 2023a). Sem essas exigências, a energia importada da rede só tem a sua intensidade de emissões limitada.</w:t>
      </w:r>
    </w:p>
    <w:p>
      <w:pPr>
        <w:pStyle w:val="BodyText"/>
      </w:pPr>
      <w:r>
        <w:t xml:space="preserve">O modelo resultante, composto pela função objetivo da Equação (3.1) e pelas restrições das Equações (3.3) a (3.21), é um MILP. Sem contrato de hidrogênio, para um horizonte de uma semana (168 h), o problema possui 1.688 variáveis contínuas, 505 variáveis binárias e 2.692 restrições; para um ano (8.760 h), 87.966 variáveis contínuas, 26.281 binárias e 140.164 restrições. O contrato acrescenta duas restrições por dia, e o limite de emissões, uma restrição por intervalo e uma por semana.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2026a).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(2026a)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 Trata-se da hipótese mais intensa de uso do módulo LRCAP; o efeito de despachos menos frequentes é avaliado na Seção 3.8.3.</w:t>
      </w:r>
    </w:p>
    <w:p>
      <w:pPr>
        <w:pStyle w:val="BodyText"/>
      </w:pPr>
      <w:r>
        <w:rPr>
          <w:b/>
          <w:bCs/>
        </w:rPr>
        <w:t xml:space="preserve">Fator de emissão da rede.</w:t>
      </w:r>
      <w:r>
        <w:t xml:space="preserve"> </w:t>
      </w:r>
      <w:r>
        <w:t xml:space="preserve">Nos casos com limite de emissões, o fator de emissão horário da energia da rede,</w:t>
      </w:r>
      <w:r>
        <w:t xml:space="preserve"> </w:t>
      </w:r>
      <m:oMath>
        <m:sSub>
          <m:e>
            <m:r>
              <m:t>f</m:t>
            </m:r>
          </m:e>
          <m:sub>
            <m:r>
              <m:t>t</m:t>
            </m:r>
          </m:sub>
        </m:sSub>
      </m:oMath>
      <w:r>
        <w:t xml:space="preserve">, foi estimado a partir da geração horária por usina do Sistema Interligado Nacional (SIN), disponibilizada pelo ONS em seu portal de dados abertos (ONS, 2026), para os anos de 2021 a 2025. Em cada hora, somam-se as emissões das termelétricas a combustíveis fósseis — a geração de cada usina multiplicada pelo fator de emissão do combustível (IPCC, 2006) e dividida por um rendimento típico: 45% para o gás natural (449 kgCO₂/MWh), 35% para o carvão mineral (988 kgCO₂/MWh) e 38% para os óleos diesel e combustível (702 e 733 kgCO₂/MWh) — e divide-se o total pela geração do SIN, excluídas a micro e a minigeração distribuídas. A biomassa, os resíduos industriais, a fonte nuclear e as demais renováveis entram com emissão nula. Os fatores médios anuais resultantes são de 94, 31, 27, 37 e 42 kgCO₂/MWh, de 2021 a 2025. De janeiro a abril de 2025, as médias mensais ficam entre 2% e 5% abaixo dos fatores publicados pelo Ministério da Ciência, Tecnologia e Inovação (MCTI, 2025), cuja metodologia passou a incluir, naquele ano, os novos empreendimentos renováveis conectados ao SIN; pela metodologia anterior, os fatores oficiais de 2021 a 2023 são de 34% a 42% maiores que os aqui estimados. Como alternativa, considera-se um fator marginal constante, de 449 kgCO₂/MWh, que supõe que toda energia importada é suprida por uma termelétrica a gás natural. Os fatores consideram apenas as emissões de operação; para manter a mesma fronteira, a energia FV entra com fator nulo (</w:t>
      </w:r>
      <m:oMath>
        <m:sSup>
          <m:e>
            <m:r>
              <m:t>f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O preço do hidrogênio não possui, até o momento, referência de mercado consolidada no Brasil e é, por isso, objeto de análise de sensibilidade. O mesmo se aplica aos termos do contrato de fornecimento de hidrogênio — volume diário e multa por déficit —, avaliados em cenários alternativos ao caso sem contrato.</w:t>
      </w:r>
    </w:p>
    <w:p>
      <w:pPr>
        <w:pStyle w:val="BodyText"/>
      </w:pPr>
      <w:r>
        <w:rPr>
          <w:b/>
          <w:bCs/>
        </w:rPr>
        <w:t xml:space="preserve">Custo de degradação do BESS.</w:t>
      </w:r>
      <w:r>
        <w:t xml:space="preserve"> </w:t>
      </w:r>
      <w:r>
        <w:t xml:space="preserve">No modelo de operação, o desgaste da bateria é representado por um custo por MWh descarregado,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</m:oMath>
      <w:r>
        <w:t xml:space="preserve">, que mede o custo marginal de usar uma bateria existente: cada ciclo adicional antecipa a perda de capacidade e a reposição dos módulos. O custo integral de reposição dividido pela energia descarregada ao longo da vida útil é um limite superior desse custo marginal. Com o preço médio de</w:t>
      </w:r>
      <w:r>
        <w:t xml:space="preserve"> </w:t>
      </w:r>
      <w:r>
        <w:rPr>
          <w:i/>
          <w:iCs/>
        </w:rPr>
        <w:t xml:space="preserve">packs</w:t>
      </w:r>
      <w:r>
        <w:t xml:space="preserve"> </w:t>
      </w:r>
      <w:r>
        <w:t xml:space="preserve">de baterias de íons de lítio para armazenamento estacionário de US$ 70/kWh em 2025 (BNEF, 2025), convertido pela taxa PTAX de 09/12/2025 (R$ 5,4025/US$) e acrescido de 74% de tributos incidentes no Brasil (EPE, 2024), e com vida útil de 4.000 a 6.000 ciclos a 90% de profundidade de descarga, esse limite fica entre R$ 120 e R$ 185 por MWh descarregado. Adota-se R$ 50/MWh no caso de referência, e o efeito de valores de R$ 100 e R$ 200/MWh é avaliado na Seção 3.8.4. Na decisão de construir o BESS (Seção 3.8.2), porém, o desgaste do uso contratado não é cobrado por MWh: o investimento é amortizado no prazo do contrato, sem valor residual, e o O&amp;M fixo inclui a reposição parcial de módulos (</w:t>
      </w:r>
      <w:r>
        <w:rPr>
          <w:i/>
          <w:iCs/>
        </w:rPr>
        <w:t xml:space="preserve">augmentation</w:t>
      </w:r>
      <w:r>
        <w:t xml:space="preserve">) que mantém a capacidade nominal durante a vida útil, com cerca de um ciclo por dia (NREL, 2024). Cobrar também o desgaste por MWh pagaria a bateria duas vezes.</w:t>
      </w:r>
    </w:p>
    <w:p>
      <w:pPr>
        <w:pStyle w:val="BodyText"/>
      </w:pPr>
      <w:r>
        <w:rPr>
          <w:b/>
          <w:bCs/>
        </w:rPr>
        <w:t xml:space="preserve">Receita fixa do LRCAP.</w:t>
      </w:r>
      <w:r>
        <w:t xml:space="preserve"> </w:t>
      </w:r>
      <w:r>
        <w:t xml:space="preserve">Como ainda não houve leilão de armazenamento em baterias no Brasil, a receita fixa foi delimitada por quatro referências. A inferior é o primeiro leilão do mecanismo italiano de contratação de capacidade de armazenamento (MACSE), realizado em setembro de 2025 com contratos de 15 anos e desenho semelhante ao do LRCAP, cujo preço médio de € 12.959/(MWh·ano) (TERNA, 2025) corresponde, para um sistema de 4 h e com a taxa de câmbio PTAX de 30/09/2025 (R$ 6,2396/€), a cerca de R$ 323 mil/(MW·ano). No LRCAP de março de 2026, que contratou o mesmo produto — potência disponível ao ONS —, termelétricas existentes a óleo e biodiesel obtiveram preço médio de R$ 831 mil/(MW·ano) (CCEE, 2026c), e o conjunto de termelétricas a gás natural, biometano e carvão e de ampliações de hidrelétricas, novas e existentes, R$ 2,334 milhões/(MW·ano) (CCEE, 2026b). Por fim, o custo de investimento de referência de sistemas de baterias, de R$ 5.000 a R$ 6.000/kW (BRASIL; EPE, 2025), corresponde, anualizado à taxa central de 12,1% ao ano em 15 anos (Seção 3.8.2), a R$ 738 mil a R$ 886 mil/(MW·ano), sem considerar operação e manutenção, encargos e reposição de módulos. Com base nessas referências, a análise de sensibilidade abrange receitas fixas de R$ 330 mil a R$ 2,33 milhões/(MW·ano). O valor de R$ 600 mil/(MW·ano) adotado no caso de referência situa-se no extremo inferior dessa faixa, abaixo do preço obtido por usinas existentes e do custo anualizado de investimento em baterias, e constitui, portanto, uma hipótese conservadora quanto à atratividade do leilão.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 — aproximação cujo efeito é avaliado ao final desta seção —, o problema anual pode ser reescrito conforme a Equação (3.22):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(3.25),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p>
      <w:pPr>
        <w:pStyle w:val="BodyText"/>
      </w:pPr>
      <w:r>
        <w:t xml:space="preserve">As condições de contorno cíclicas restringem o problema anual, pois impedem transferências de energia e de hidrogênio entre blocos: cada semana começa com o módulo mercantil 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 tanque em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precisa terminar nesses níveis. O valor obtido com blocos semanais é, portanto, um limite inferior do valor do problema anual. Como a solução direta do problema anual não foi obtida, o efeito dessa restrição é estimado comparando-se o lucro anual, para uma mesma potência contratada, com blocos de 7, 14 e 28 dias, e refazendo-se a decomposição com blocos de 14 dias. Se o lucro não aumentar com o tamanho do bloco, a restrição pode ser considerada inativa.</w:t>
      </w:r>
    </w:p>
    <w:p>
      <w:pPr>
        <w:pStyle w:val="BodyText"/>
      </w:pPr>
      <w:r>
        <w:t xml:space="preserve">Quando a potência contratada é fixada — caso das avaliações da curva de oferta e da viabilidade econômica (Seção 3.8) —, a restrição pode ser removida quase integralmente por um procedimento em duas etapas. Primeiro, resolve-se a relaxação linear do problema do ano inteiro, isto é, com as variáveis binárias tratadas como contínuas, e com condição cíclica no ano e nível inicial livre. Sem variáveis binárias, esse problema é resolvido em menos de um minuto, e seu valor ótimo é um limite superior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do lucro operacional do ano. Em seguida, os estados de armazenamento da relaxação no início e no fim de cada semana — o estado de carga do módulo mercantil, em fração de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, e o estoque de hidrogênio — substituem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como condições de contorno dos blocos MILP. Os blocos continuam independentes e são resolvidos em paralelo, e a concatenação de suas soluções é uma operação viável do ano inteiro, cujo lucro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é um limite inferior do ótimo anual. A diferença relativa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Q</m:t>
            </m:r>
          </m:e>
        </m:acc>
        <m:r>
          <m:rPr>
            <m:sty m:val="p"/>
          </m:rPr>
          <m:t>−</m:t>
        </m:r>
        <m:bar>
          <m:barPr>
            <m:pos m:val="bot"/>
          </m:barPr>
          <m:e>
            <m:r>
              <m:t>Q</m:t>
            </m:r>
          </m:e>
        </m:bar>
        <m:r>
          <m:rPr>
            <m:sty m:val="p"/>
          </m:rPr>
          <m:t>)</m:t>
        </m:r>
        <m:r>
          <m:rPr>
            <m:sty m:val="p"/>
          </m:rPr>
          <m:t>/</m:t>
        </m:r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certifica, assim, a qualidade da aproximação. Como a condição cíclica também produz uma operação viável, adota-se, em cada cenário, o maior dos dois limites inferiores. Nessas avaliações, a recarga excedente do módulo LRCAP (Seção 3.4) é apurada no ano inteiro, como na liquidação da CONCAP, e não bloco a bloco. Para que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seja de fato viável, admite-se, nesses blocos, o eletrolisador desligado antes da primeira hora, o que pode acrescentar uma partida por semana. O procedimento não se aplica ao algoritmo de Benders, porque os estados de fronteira dependeriam do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em que a relaxação foi resolvida, e o conjunto viável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da Equação (3.23) deixaria de ser o mesmo entre iterações.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(3.28):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2026a),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</w:t>
      </w:r>
    </w:p>
    <w:p>
      <w:pPr>
        <w:pStyle w:val="FirstParagraph"/>
      </w:pPr>
      <w:r>
        <w:t xml:space="preserve">No caso estocástico, o custo por partida do eletrolisador da Equação (3.1),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é de R$ 500 (valor de referência, a calibrar com o fabricante) e incide sobre 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frequentes; no caso determinístico,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(3.29) a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(3.27)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(3.35)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(3.36) e (3.37):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(3.36)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(3.37)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(3.35),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41" w:name="Xf0e3fbab76bc3f5e0142e349b83ef2d4bc14838"/>
    <w:p>
      <w:pPr>
        <w:pStyle w:val="Heading2"/>
      </w:pPr>
      <w:r>
        <w:t xml:space="preserve">3.8 Decisão de oferta no leilão e análises de sensibilidade</w:t>
      </w:r>
    </w:p>
    <w:p>
      <w:pPr>
        <w:pStyle w:val="FirstParagraph"/>
      </w:pPr>
      <w:r>
        <w:t xml:space="preserve">As Seções 3.4 a 3.7 tratam a receita fixa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parâmetro e determinam a potência ótima correspondente. No leilão, contudo,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não é um dado: é o preço ofertado pelo próprio empreendedor, e a informação de que ele necessita é a relação entre esse preço e a potência que vale a pena comprometer. Esta seção apresenta os procedimentos utilizados para obter essa relação nas duas situações consideradas: a curva de oferta de um BESS disponível (Seção 3.8.1) e, para um BESS a construir, a análise de viabilidade e o lance mínimo (Seção 3.8.2), que constitui o resultado principal do trabalho. Em seguida, trata-se do efeito da frequência do despacho do ONS (Seção 3.8.3) e dos casos de sensibilidade avaliados (Seção 3.8.4).</w:t>
      </w:r>
    </w:p>
    <w:bookmarkStart w:id="37" w:name="custo-de-oportunidade-e-curva-de-oferta"/>
    <w:p>
      <w:pPr>
        <w:pStyle w:val="Heading3"/>
      </w:pPr>
      <w:r>
        <w:t xml:space="preserve">3.8.1 Custo de oportunidade e curva de oferta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 lucro operacional esperado do empreendimento, sem a receita fixa do LRCAP, quando a potência contratada é</w:t>
      </w:r>
      <w:r>
        <w:t xml:space="preserve"> </w:t>
      </w:r>
      <m:oMath>
        <m:r>
          <m:t>P</m:t>
        </m:r>
      </m:oMath>
      <w:r>
        <w:t xml:space="preserve">, dado pela Equação (3.38) (na prática, calculado com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(3.38)</w:t>
            </w:r>
          </w:p>
        </w:tc>
      </w:tr>
    </w:tbl>
    <w:p>
      <w:pPr>
        <w:pStyle w:val="FirstParagraph"/>
      </w:pPr>
      <w:r>
        <w:t xml:space="preserve">A diferença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mede quanto lucro operacional o empreendedor perde por comprometer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MW com o leilão. Ela reúne duas parcelas: o lucro que deixa de obter no MCP e na venda de hidrogênio, que é o custo de oportunidade em sentido estrito, e o custo de degradação do módulo LRCAP pelo despacho do ONS, de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por MW contratado, 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por MW em um ano (Seção 3.8.2). Neste trabalho, denomina-se custo de oportunidade da contratação a soma das duas parcelas, pois é ela que a receita fixa precisa cobrir quando o BESS já existe. Seu valor por MW adicional,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t>P</m:t>
        </m:r>
      </m:oMath>
      <w:r>
        <w:t xml:space="preserve">, é o custo de oportunidade marginal. Como a decisão envolve uma única variável e o interesse está na curva inteira, e não apenas no seu máximo,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avaliada numa grade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, com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MW, resolvendo-se para cada ponto os subproblemas de todos os pares (cenário, bloco)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fixo e com os estados de fronteira dos blocos dados pela relaxação linear de cada ano (Seção 3.6.2). O custo de oportunidade marginal é aproximado pelas diferenças finitas da Equação (3.39):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  <m:sup>
                    <m:r>
                      <m:t>o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X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t> 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≥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(3.39)</w:t>
            </w:r>
          </w:p>
        </w:tc>
      </w:tr>
    </w:tbl>
    <w:p>
      <w:pPr>
        <w:pStyle w:val="FirstParagraph"/>
      </w:pPr>
      <w:r>
        <w:t xml:space="preserve">Para uma receita fixa</w:t>
      </w:r>
      <w:r>
        <w:t xml:space="preserve"> </w:t>
      </w:r>
      <m:oMath>
        <m:r>
          <m:t>R</m:t>
        </m:r>
      </m:oMath>
      <w:r>
        <w:t xml:space="preserve">, a potência ótima a ofertar é dada pela Equação (3.40), e o conjunto de pares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constitui a curva de oferta do empreendedor: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lim>
                </m:limLow>
                <m:r>
                  <m:t> </m:t>
                </m:r>
                <m:r>
                  <m:t>R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(3.40)</w:t>
            </w:r>
          </w:p>
        </w:tc>
      </w:tr>
    </w:tbl>
    <w:p>
      <w:pPr>
        <w:pStyle w:val="FirstParagraph"/>
      </w:pPr>
      <w:r>
        <w:t xml:space="preserve">Dois valores resumem a curva. A receita mínima de entrada,</w:t>
      </w:r>
      <w:r>
        <w:t xml:space="preserve"> </w:t>
      </w:r>
      <m:oMath>
        <m:sSup>
          <m:e>
            <m:r>
              <m:t>R</m:t>
            </m:r>
          </m:e>
          <m:sup>
            <m:r>
              <m:t>e</m:t>
            </m:r>
            <m:r>
              <m:t>n</m:t>
            </m:r>
            <m:r>
              <m:t>t</m:t>
            </m:r>
          </m:sup>
        </m:sSup>
      </m:oMath>
      <w:r>
        <w:t xml:space="preserve">, é a menor receita fixa para a qual participar do leilão é preferível a não participar, conforme a Equação (3.41); a receita de oferta integral,</w:t>
      </w:r>
      <w:r>
        <w:t xml:space="preserve"> </w:t>
      </w:r>
      <m:oMath>
        <m:sSup>
          <m:e>
            <m:r>
              <m:t>R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 é a menor receita para a qual ofertar a potência máxima supera qualquer alternativa, conforme a Equação (3.42):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(3.41)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(3.42)</w:t>
            </w:r>
          </w:p>
        </w:tc>
      </w:tr>
    </w:tbl>
    <w:p>
      <w:pPr>
        <w:pStyle w:val="FirstParagraph"/>
      </w:pPr>
      <w:r>
        <w:t xml:space="preserve">A curva de oferta não depende do formato do leilão nem do comportamento dos demais proponentes: ela indica, para cada preço, quanta potência o empreendedor estaria disposto a comprometer. Ressalta-se que o investimento no BESS não entra em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pois as capacidades instaladas são fixas. Esse custo não altera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quando o BESS já existe, mas altera a decisão quando ele ainda será construído, situação tratada na Seção 3.8.2.</w:t>
      </w:r>
    </w:p>
    <w:bookmarkEnd w:id="37"/>
    <w:bookmarkStart w:id="38" w:name="viabilidade-econômica-e-lance-mínimo"/>
    <w:p>
      <w:pPr>
        <w:pStyle w:val="Heading3"/>
      </w:pPr>
      <w:r>
        <w:t xml:space="preserve">3.8.2 Viabilidade econômica e lance mínimo</w:t>
      </w:r>
    </w:p>
    <w:p>
      <w:pPr>
        <w:pStyle w:val="FirstParagraph"/>
      </w:pPr>
      <w:r>
        <w:t xml:space="preserve">A viabilidade do empreendimento é avaliada pelo valor presente líquido (VPL) de um fluxo de caixa anual constante, em termos reais, ao longo do prazo do contrato do LRCAP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anos), sem valor residual, conforme a Equação (3.43):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J</m:t>
                </m:r>
                <m:r>
                  <m:t> </m:t>
                </m:r>
                <m:r>
                  <m:t>I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V</m:t>
                    </m:r>
                  </m:e>
                  <m:sup>
                    <m:r>
                      <m:t>p</m:t>
                    </m:r>
                    <m:r>
                      <m:t>i</m:t>
                    </m:r>
                    <m:r>
                      <m:t>l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o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t</m:t>
                    </m:r>
                    <m:r>
                      <m:t> </m:t>
                    </m:r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i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o investimento total na usina FV, no BESS, no eletrolisador e no tanque de hidrogênio,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é o fator de juros durante a construção,</w:t>
      </w:r>
      <w:r>
        <w:t xml:space="preserve"> </w:t>
      </w:r>
      <m:oMath>
        <m:sSup>
          <m:e>
            <m:r>
              <m:t>V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é o valor presente das trocas de pilhas do eletrolisador,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 </w:t>
      </w:r>
      <w:r>
        <w:t xml:space="preserve">é o lucro operacional esperado na potência ótima para a receita fixa considerada (Seção 3.8.1),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m</m:t>
            </m:r>
          </m:sup>
        </m:sSup>
      </m:oMath>
      <w:r>
        <w:t xml:space="preserve"> </w:t>
      </w:r>
      <w:r>
        <w:t xml:space="preserve">é o custo anual de operação e manutenção fixo,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p>
        <m:r>
          <m:rPr>
            <m:sty m:val="p"/>
          </m:rPr>
          <m:t>=</m:t>
        </m:r>
        <m:r>
          <m:t>12</m:t>
        </m:r>
        <m:r>
          <m:t> </m:t>
        </m:r>
        <m:r>
          <m:t>τ</m:t>
        </m:r>
        <m:r>
          <m:t> </m:t>
        </m:r>
        <m:r>
          <m:t>M</m:t>
        </m:r>
      </m:oMath>
      <w:r>
        <w:t xml:space="preserve"> </w:t>
      </w:r>
      <w:r>
        <w:t xml:space="preserve">é o custo anual de uso da rede, com a tarifa de uso do sistema de transmissão na geração (TUST)</w:t>
      </w:r>
      <w:r>
        <w:t xml:space="preserve"> </w:t>
      </w:r>
      <m:oMath>
        <m:r>
          <m:t>τ</m:t>
        </m:r>
      </m:oMath>
      <w:r>
        <w:t xml:space="preserve">, em R$/kW·mês, aplicada ao montante de uso de injeção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é a alíquota dos tributos sobre a receita bruta (PIS/Cofins),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é a receita bruta anual — receita fixa, venda de energia no MCP e venda de hidrogênio, este tomado líquido de ICMS —, 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é o fator de valor presente de uma série uniforme à taxa real</w:t>
      </w:r>
      <w:r>
        <w:t xml:space="preserve"> </w:t>
      </w:r>
      <m:oMath>
        <m:r>
          <m:t>i</m:t>
        </m:r>
      </m:oMath>
      <w:r>
        <w:t xml:space="preserve">. A taxa interna de retorno (TIR) é a taxa para a qual o VPL é nulo.</w:t>
      </w:r>
    </w:p>
    <w:p>
      <w:pPr>
        <w:pStyle w:val="BodyText"/>
      </w:pPr>
      <w:r>
        <w:t xml:space="preserve">O investimento é desembolsado uniformemente nos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anos de implantação anteriores à entrada em operação e capitalizado à taxa de desconto até essa data, com a convenção de meio de período: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j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, isto é,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para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quando se desconsidera a implantação. Supõe-se, assim, que os custos de referência não incluem juros durante a construção, o que deve ser confirmado nos cadernos da EPE. As pilhas do eletrolisador são trocadas a cada</w:t>
      </w:r>
      <w:r>
        <w:t xml:space="preserve"> </w:t>
      </w:r>
      <m:oMath>
        <m:sSup>
          <m:e>
            <m:r>
              <m:t>h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horas equivalentes de operação na potência nominal, ao custo de uma fração</w:t>
      </w:r>
      <w:r>
        <w:t xml:space="preserve"> </w:t>
      </w:r>
      <m:oMath>
        <m:sSup>
          <m:e>
            <m:r>
              <m:t>f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</m:oMath>
      <w:r>
        <w:t xml:space="preserve"> </w:t>
      </w:r>
      <w:r>
        <w:t xml:space="preserve">do investimento no eletrolisador: com fator de capacidade</w:t>
      </w:r>
      <w:r>
        <w:t xml:space="preserve"> </w:t>
      </w:r>
      <m:oMath>
        <m:r>
          <m:t>F</m:t>
        </m:r>
        <m:r>
          <m:t>C</m:t>
        </m:r>
      </m:oMath>
      <w:r>
        <w:t xml:space="preserve">, a</w:t>
      </w:r>
      <w:r>
        <w:t xml:space="preserve"> </w:t>
      </w:r>
      <m:oMath>
        <m:r>
          <m:t>j</m:t>
        </m:r>
      </m:oMath>
      <w:r>
        <w:t xml:space="preserve">-ésima troca ocorre no ano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⌈</m:t>
        </m:r>
        <m:r>
          <m:t>j</m:t>
        </m:r>
        <m:r>
          <m:t> </m:t>
        </m:r>
        <m:sSup>
          <m:e>
            <m:r>
              <m:t>h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8.760</m:t>
        </m:r>
        <m:r>
          <m:t> </m:t>
        </m:r>
        <m:r>
          <m:t>F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V</m:t>
            </m:r>
          </m:e>
          <m:sup>
            <m:r>
              <m:t>p</m:t>
            </m:r>
            <m:r>
              <m:t>i</m:t>
            </m:r>
            <m:r>
              <m:t>l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  <m:r>
              <m:rPr>
                <m:sty m:val="p"/>
              </m:rPr>
              <m:t>:</m:t>
            </m:r>
            <m:r>
              <m:t> </m:t>
            </m:r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  <m:r>
              <m:rPr>
                <m:sty m:val="p"/>
              </m:rPr>
              <m:t>&lt;</m:t>
            </m:r>
            <m:r>
              <m:t>n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t>p</m:t>
                </m:r>
                <m:r>
                  <m:t>i</m:t>
                </m:r>
                <m:r>
                  <m:t>l</m:t>
                </m:r>
              </m:sup>
            </m:sSup>
          </m:e>
        </m:nary>
        <m:sSup>
          <m:e>
            <m:r>
              <m:t>I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; as trocas no último ano ou depois dele não são feitas, pois não há valor residual. Com o fator de capacidade do caso de referência, de 0,37, as 60 mil horas não são atingidas em 15 anos; com a importação de energia, que eleva o fator de capacidade a 0,92, há uma troca no oitavo ano. O compressor que leva o hidrogênio da pressão do eletrolisador à do tanque não foi incluído: sua energia, estimada pela compressão isotérmica de 30 para 160 bar com rendimento de 50%, é de cerca de 1,1 kWh/kg, 2% do consumo específico do eletrolisador. Os parâmetros adotados são apresentados no Quadro 3.3.</w:t>
      </w:r>
    </w:p>
    <w:p>
      <w:pPr>
        <w:pStyle w:val="Legenda"/>
      </w:pPr>
      <w:r>
        <w:t xml:space="preserve">Quadro 3.3 – Parâmetros da análise de viabilidade econômica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Valores (baixo; central; alto)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na usina FV</w:t>
            </w:r>
          </w:p>
        </w:tc>
        <w:tc>
          <w:tcPr/>
          <w:p>
            <w:pPr>
              <w:pStyle w:val="Compact"/>
            </w:pPr>
            <w:r>
              <w:t xml:space="preserve">R$ 3.000; 4.250; 5.500/kW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BESS</w:t>
            </w:r>
          </w:p>
        </w:tc>
        <w:tc>
          <w:tcPr/>
          <w:p>
            <w:pPr>
              <w:pStyle w:val="Compact"/>
            </w:pPr>
            <w:r>
              <w:t xml:space="preserve">R$ 5.000; 5.500; 6.000/kW de um sistema de 4 h (sensibilidade: 3 h), com 45%; 60%; 75% do custo proporcionais à energia</w:t>
            </w:r>
          </w:p>
        </w:tc>
        <w:tc>
          <w:tcPr/>
          <w:p>
            <w:pPr>
              <w:pStyle w:val="Compact"/>
            </w:pPr>
            <w:r>
              <w:t xml:space="preserve">BRASIL; EPE (2025), sem duração informada (as edições anteriores usavam 3 h); composição típica de sistemas de 4 h: bloco de baterias de 35% a 55%, conversores de 10% a 20% e conexão, obras e custos indiretos de 25% a 40% (BESS-MARKET, 2026; EMBER,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eletrolisador</w:t>
            </w:r>
          </w:p>
        </w:tc>
        <w:tc>
          <w:tcPr/>
          <w:p>
            <w:pPr>
              <w:pStyle w:val="Compact"/>
            </w:pPr>
            <w:r>
              <w:t xml:space="preserve">US$ 1.100; 2.000; 2.500/kW</w:t>
            </w:r>
          </w:p>
        </w:tc>
        <w:tc>
          <w:tcPr/>
          <w:p>
            <w:pPr>
              <w:pStyle w:val="Compact"/>
            </w:pPr>
            <w:r>
              <w:t xml:space="preserve">IEA (2025): sistemas chineses de US$ 500 a 1.100/kW e demais de US$ 1.900 a 2.500/kW; convertidos pela PTAX de 09/12/2025 (R$ 5,4025/US$)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 de hidrogênio</w:t>
            </w:r>
          </w:p>
        </w:tc>
        <w:tc>
          <w:tcPr/>
          <w:p>
            <w:pPr>
              <w:pStyle w:val="Compact"/>
            </w:pPr>
            <w:r>
              <w:t xml:space="preserve">US$ 700; 1.000; 1.100/kg armazenado</w:t>
            </w:r>
          </w:p>
        </w:tc>
        <w:tc>
          <w:tcPr/>
          <w:p>
            <w:pPr>
              <w:pStyle w:val="Compact"/>
            </w:pPr>
            <w:r>
              <w:t xml:space="preserve">Vasos estacionários a 160 bar: situação de 2010 (US$ 1.000/kg) e meta para 2020 (US$ 700/kg); a 430 bar, US$ 1.100/kg (FENG</w:t>
            </w:r>
            <w:r>
              <w:t xml:space="preserve"> </w:t>
            </w:r>
            <w:r>
              <w:rPr>
                <w:i/>
                <w:iCs/>
              </w:rPr>
              <w:t xml:space="preserve">et al.</w:t>
            </w:r>
            <w:r>
              <w:t xml:space="preserve">, 2014)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Troca de pilhas do eletrolisador</w:t>
            </w:r>
          </w:p>
        </w:tc>
        <w:tc>
          <w:tcPr/>
          <w:p>
            <w:pPr>
              <w:pStyle w:val="Compact"/>
            </w:pPr>
            <w:r>
              <w:t xml:space="preserve">40% do investimento no eletrolisador a cada 60.000 h equivalentes</w:t>
            </w:r>
          </w:p>
        </w:tc>
        <w:tc>
          <w:tcPr/>
          <w:p>
            <w:pPr>
              <w:pStyle w:val="Compact"/>
            </w:pPr>
            <w:r>
              <w:t xml:space="preserve">EPRI (2022): troca de 35% a 45% do investimento, vida de 60 a 80 mil horas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Prazo de implantação</w:t>
            </w:r>
          </w:p>
        </w:tc>
        <w:tc>
          <w:tcPr/>
          <w:p>
            <w:pPr>
              <w:pStyle w:val="Compact"/>
            </w:pPr>
            <w:r>
              <w:t xml:space="preserve">1 ano (sensibilidade: 0 e 2 anos), com juros durante a construção à taxa de desconto</w:t>
            </w:r>
          </w:p>
        </w:tc>
        <w:tc>
          <w:tcPr/>
          <w:p>
            <w:pPr>
              <w:pStyle w:val="Compact"/>
            </w:pPr>
            <w:r>
              <w:t xml:space="preserve">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fixo anual</w:t>
            </w:r>
          </w:p>
        </w:tc>
        <w:tc>
          <w:tcPr/>
          <w:p>
            <w:pPr>
              <w:pStyle w:val="Compact"/>
            </w:pPr>
            <w:r>
              <w:t xml:space="preserve">1,5% (FV), 2,5% (BESS) e 3% (eletrolisador) do investimento</w:t>
            </w:r>
          </w:p>
        </w:tc>
        <w:tc>
          <w:tcPr/>
          <w:p>
            <w:pPr>
              <w:pStyle w:val="Compact"/>
            </w:pPr>
            <w:r>
              <w:t xml:space="preserve">BESS: NREL (2024), incluída a reposição parcial de módulos que mantém a capacidade nominal em 15 anos, com cerca de um ciclo por dia e sem O&amp;M variável; FV e eletrolisador: 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desconto real</w:t>
            </w:r>
          </w:p>
        </w:tc>
        <w:tc>
          <w:tcPr/>
          <w:p>
            <w:pPr>
              <w:pStyle w:val="Compact"/>
            </w:pPr>
            <w:r>
              <w:t xml:space="preserve">12,1% (central) e 8,0% ao ano</w:t>
            </w:r>
          </w:p>
        </w:tc>
        <w:tc>
          <w:tcPr/>
          <w:p>
            <w:pPr>
              <w:pStyle w:val="Compact"/>
            </w:pPr>
            <w:r>
              <w:t xml:space="preserve">ANEEL (2026): custo de capital regulatório da geração antes e após impostos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da rede (TUST de geração)</w:t>
            </w:r>
          </w:p>
        </w:tc>
        <w:tc>
          <w:tcPr/>
          <w:p>
            <w:pPr>
              <w:pStyle w:val="Compact"/>
            </w:pPr>
            <w:r>
              <w:t xml:space="preserve">R$ 5,68; 10,93; 19,49/kW·mês, sobre o montante de uso de injeção compartilhado pela FV e pelo BESS (sensibilidades: montantes somados; cobrança também da TUST de consumo, de R$ 15,23/kW·mês)</w:t>
            </w:r>
          </w:p>
        </w:tc>
        <w:tc>
          <w:tcPr/>
          <w:p>
            <w:pPr>
              <w:pStyle w:val="Compact"/>
            </w:pPr>
            <w:r>
              <w:t xml:space="preserve">Ciclo 2026/2027: média nacional e faixa entre regiões (MOVIMENTO ECONÔMICO, 2026; RADAR ENERGIA, 2026); armazenamento despachado pelo ONS paga apenas na injeção (CENÁRIO ENERGIA, 2026), embora a REN ANEEL nº 1.162/2026 preveja o faturamento das duas parcelas para armazenamento colocalizado (CESCON BARRIEU,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do BESS</w:t>
            </w:r>
          </w:p>
        </w:tc>
        <w:tc>
          <w:tcPr/>
          <w:p>
            <w:pPr>
              <w:pStyle w:val="Compact"/>
            </w:pPr>
            <w:r>
              <w:t xml:space="preserve">0; 1%; 2% da potência nominal</w:t>
            </w:r>
          </w:p>
        </w:tc>
        <w:tc>
          <w:tcPr/>
          <w:p>
            <w:pPr>
              <w:pStyle w:val="Compact"/>
            </w:pPr>
            <w:r>
              <w:t xml:space="preserve">Valor indicativo de fornecedores, de 0,8% a 1,6% da potência do conversor (ENERGY CENTRAL,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100% (sensibilidade: 97%)</w:t>
            </w:r>
          </w:p>
        </w:tc>
        <w:tc>
          <w:tcPr/>
          <w:p>
            <w:pPr>
              <w:pStyle w:val="Compact"/>
            </w:pPr>
            <w:r>
              <w:t xml:space="preserve">Portaria MME nº 136/2026: disponibilidade integral, com isenção de penalidade para a indisponibilidade acordada com 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15 anos, sem valor residual</w:t>
            </w:r>
          </w:p>
        </w:tc>
        <w:tc>
          <w:tcPr/>
          <w:p>
            <w:pPr>
              <w:pStyle w:val="Compact"/>
            </w:pPr>
            <w:r>
              <w:t xml:space="preserve">Prazo do contrato do LRCAP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Tributos sobre a receita (PIS/Cofins)</w:t>
            </w:r>
          </w:p>
        </w:tc>
        <w:tc>
          <w:tcPr/>
          <w:p>
            <w:pPr>
              <w:pStyle w:val="Compact"/>
            </w:pPr>
            <w:r>
              <w:t xml:space="preserve">3,65% (lucro presumido; sensibilidade: 9,25%, não cumulativo)</w:t>
            </w:r>
          </w:p>
        </w:tc>
        <w:tc>
          <w:tcPr/>
          <w:p>
            <w:pPr>
              <w:pStyle w:val="Compact"/>
            </w:pPr>
            <w:r>
              <w:t xml:space="preserve">Brasil (1998; 2002; 2003); encargos setoriais não incluídos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Reajuste da receita fixa</w:t>
            </w:r>
          </w:p>
        </w:tc>
        <w:tc>
          <w:tcPr/>
          <w:p>
            <w:pPr>
              <w:pStyle w:val="Compact"/>
            </w:pPr>
            <w:r>
              <w:t xml:space="preserve">IPCA anual (sensibilidade: sem reajuste, com IPCA de 4% a.a.)</w:t>
            </w:r>
          </w:p>
        </w:tc>
        <w:tc>
          <w:tcPr/>
          <w:p>
            <w:pPr>
              <w:pStyle w:val="Compact"/>
            </w:pPr>
            <w:r>
              <w:t xml:space="preserve">A confirmar na Portaria MME nº 136/2026 e no edital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Como o fluxo de caixa é calculado antes dos tributos sobre a renda, adota-se como taxa central o custo de capital antes de impostos (12,1%), que já incorpora o efeito desses tributos. A taxa antes de impostos não cobre, porém, os tributos sobre a receita, que são deduzidos do fluxo: adota-se o regime cumulativo do lucro presumido (</w:t>
      </w:r>
      <m:oMath>
        <m:r>
          <m:t>t</m:t>
        </m:r>
      </m:oMath>
      <w:r>
        <w:t xml:space="preserve"> </w:t>
      </w:r>
      <w:r>
        <w:t xml:space="preserve">= 3,65%; BRASIL, 1998), admitido para receita bruta anual de até R$ 78 milhões (BRASIL, 2013), caso de uma sociedade de propósito específico só do BESS, e avalia-se o regime não cumulativo (</w:t>
      </w:r>
      <m:oMath>
        <m:r>
          <m:t>t</m:t>
        </m:r>
      </m:oMath>
      <w:r>
        <w:t xml:space="preserve"> </w:t>
      </w:r>
      <w:r>
        <w:t xml:space="preserve">= 9,25%, sem créditos; BRASIL, 2002; 2003) como sensibilidade. Encargos setoriais, como a taxa de fiscalização da ANEEL e a contribuição à CCEE, não foram incluídos. A receita fixa é suposta reajustada anualmente pelo IPCA, o que a torna constante em termos reais, coerente com o fluxo de caixa; como essa regra ainda deve ser confirmada na Portaria e no edital, avalia-se também a receita constante em termos nominais. A taxa após impostos (8,0%) é apresentada apenas como sensibilidade, pois, aplicada a um fluxo antes de impostos, ignora o imposto de renda e superestima o VPL. A partir do VPL, calcula-se ainda o preço de equilíbrio do hidrogênio,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  <m:r>
              <m:rPr>
                <m:sty m:val="p"/>
              </m:rPr>
              <m:t>,</m:t>
            </m:r>
            <m:r>
              <m:t>e</m:t>
            </m:r>
            <m:r>
              <m:t>q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/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,</m:t>
            </m:r>
            <m:r>
              <m:t>n</m:t>
            </m:r>
            <m:r>
              <m:rPr>
                <m:sty m:val="p"/>
              </m:rPr>
              <m:t>)</m:t>
            </m:r>
            <m:r>
              <m:t> </m:t>
            </m:r>
            <m:r>
              <m:t>V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)</m:t>
            </m:r>
          </m:e>
        </m:d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quantidade anual de hidrogênio vendida. Essa expressão mantém a operação fixa e, portanto, superestima ligeiramente o preço de equilíbrio, pois um preço maior levaria a uma produção maior.</w:t>
      </w:r>
    </w:p>
    <w:p>
      <w:pPr>
        <w:pStyle w:val="BodyText"/>
      </w:pPr>
      <w:r>
        <w:t xml:space="preserve">Para isolar a contribuição da bateria, o modelo é resolvido também sem o BESS e, consequentemente, sem participação no leilão, o que fornece o lucro operacional</w:t>
      </w:r>
      <w:r>
        <w:t xml:space="preserve"> </w:t>
      </w:r>
      <m:oMath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da usina FV com o eletrolisador. Quando o BESS ainda será construído, o proponente compara, para cada receita fixa</w:t>
      </w:r>
      <w:r>
        <w:t xml:space="preserve"> </w:t>
      </w:r>
      <m:oMath>
        <m:r>
          <m:t>R</m:t>
        </m:r>
      </m:oMath>
      <w:r>
        <w:t xml:space="preserve">, a alternativa de não construí-lo com a de construí-lo e contratar a melhor potência, deduzido o custo anual equivalente do BESS,</w:t>
      </w:r>
      <w:r>
        <w:t xml:space="preserve"> </w:t>
      </w:r>
      <m:oMath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r>
          <m:t>J</m:t>
        </m:r>
        <m:r>
          <m:t> </m:t>
        </m:r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o</m:t>
            </m:r>
            <m:r>
              <m:t>m</m:t>
            </m:r>
            <m:r>
              <m:rPr>
                <m:sty m:val="p"/>
              </m:rPr>
              <m:t>,</m:t>
            </m:r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+</m:t>
        </m:r>
        <m:r>
          <m:t>12</m:t>
        </m:r>
        <m:r>
          <m:t> </m:t>
        </m:r>
        <m:r>
          <m:t>τ</m:t>
        </m:r>
        <m:r>
          <m:t> 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, que inclui o capital, com os juros durante a construção, o O&amp;M fixo com a reposição parcial de módulos e o acréscimo de uso da rede. O investimento separa as parcelas de potência e de energia,</w:t>
      </w:r>
      <w:r>
        <w:t xml:space="preserve"> </w:t>
      </w:r>
      <m:oMath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</m:e>
              <m:sup>
                <m:r>
                  <m:t>d</m:t>
                </m:r>
                <m:r>
                  <m:t>i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f</m:t>
            </m:r>
            <m:r>
              <m:t> </m:t>
            </m:r>
            <m:sSup>
              <m:e>
                <m:r>
                  <m:t>E</m:t>
                </m:r>
              </m:e>
              <m:sup>
                <m:r>
                  <m:t>t</m:t>
                </m:r>
                <m:r>
                  <m:t>o</m:t>
                </m:r>
                <m:r>
                  <m:t>t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h</m:t>
                </m:r>
              </m:e>
              <m:sup>
                <m:r>
                  <m:t>r</m:t>
                </m:r>
                <m:r>
                  <m:t>e</m:t>
                </m:r>
                <m:r>
                  <m:t>f</m:t>
                </m:r>
              </m:sup>
            </m:sSup>
          </m:e>
        </m:d>
      </m:oMath>
      <w:r>
        <w:t xml:space="preserve">, em que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é o custo por kW de um sistema de</w:t>
      </w:r>
      <w:r>
        <w:t xml:space="preserve"> </w:t>
      </w:r>
      <m:oMath>
        <m:sSup>
          <m:e>
            <m:r>
              <m:t>h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horas 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é a parcela desse custo proporcional à energia; assim, a energia instalada além da duração de referência tem custo. O montante de uso de injeção sem o BESS é</w:t>
      </w:r>
      <w: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. Com o BESS, adota-se a conexão compartilhada do art. 4º, § 1º, II, da Portaria: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com a geração FV limitada quando a bateria injeta, o que atende à exigência de que o montante permita a descarga e a recarga totais do sistema de armazenamento (BRASIL, 2026, art. 9º, § 13). As curvas de oferta foram obtidas com conexão de 80 MW; com 60 MW, a diferença a partir de 50 MW contratados limita-se à geração FV nas horas de descarga do ONS, de cerca de R$ 1 mil/(MW·ano). Como sensibilidade, avaliam-se os montantes somados,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 a cobrança também da TUST de consumo sobre a potência do BESS. Nessa decisão, o lucro operacional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da Seção 3.8.1 é ajustado em dois pontos, conforme a Equação (3.44): devolve-se o custo de degradação do módulo LRCAP, cujo desgaste já está no investimento e no O&amp;M fixo (Seção 3.5), e desconta-se o consumo auxiliar do BESS que não é custeado pela CONCAP: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Q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t>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max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 </m:t>
                        </m:r>
                        <m:r>
                          <m:t>a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ϕ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n</m:t>
                            </m:r>
                            <m:r>
                              <m:t>s</m:t>
                            </m:r>
                          </m:sup>
                        </m:sSup>
                      </m:e>
                    </m:d>
                    <m:r>
                      <m:t>P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LRCAP por MW contratado em um ano,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é o consumo auxiliar em fração da potência,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ano e</w:t>
      </w:r>
      <w:r>
        <w:t xml:space="preserve"> </w:t>
      </w:r>
      <m:oMath>
        <m:acc>
          <m:accPr>
            <m:chr m:val="‾"/>
          </m:accPr>
          <m:e>
            <m:r>
              <m:t>λ</m:t>
            </m:r>
          </m:e>
        </m:acc>
      </m:oMath>
      <w:r>
        <w:t xml:space="preserve"> </w:t>
      </w:r>
      <w:r>
        <w:t xml:space="preserve">é o PLD médio. O primeiro termo entre colchetes é o consumo do módulo mercantil, pago pelo empreendedor. O segundo é a parcela do consumo do módulo LRCAP que, medida no seu ponto de medição e contada como recarga, excede a folga</w:t>
      </w:r>
      <w:r>
        <w:t xml:space="preserve"> </w:t>
      </w:r>
      <m:oMath>
        <m:r>
          <m:t>ϕ</m:t>
        </m:r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entre a recarga custeada pela CONCAP,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e a recarga necessária,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isto é,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(BRASIL, 2026, art. 9º, §§ 7º e 8º). Com despacho diário,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≈</m:t>
        </m:r>
        <m:r>
          <m:t>1.461</m:t>
        </m:r>
      </m:oMath>
      <w:r>
        <w:t xml:space="preserve"> </w:t>
      </w:r>
      <w:r>
        <w:t xml:space="preserve">MWh/MW, a folga é de cerca de 100 MWh/MW por ano e cobre um consumo auxiliar de até 1,1% da potência. O uso dessa folga para o consumo auxiliar é uma interpretação: a Portaria custeia a recarga com base no rendimento de referência, mas não trata expressamente do consumo auxiliar medido no ponto de medição do módulo. Por isso, avalia-se também o caso em que todo o consumo auxiliar é pago ao PLD (</w:t>
      </w:r>
      <m:oMath>
        <m:r>
          <m:t>ϕ</m:t>
        </m:r>
        <m:r>
          <m:rPr>
            <m:sty m:val="p"/>
          </m:rPr>
          <m:t>=</m:t>
        </m:r>
        <m:r>
          <m:t>0</m:t>
        </m:r>
      </m:oMath>
      <w:r>
        <w:t xml:space="preserve">). A receita fixa é multiplicada pelo fator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d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t>φ</m:t>
        </m:r>
      </m:oMath>
      <w:r>
        <w:t xml:space="preserve">, em que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é a disponibilidade,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 alíquota dos tributos sobre a receita e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 perda de valor real da receita fixa sem reajuste pelo IPCA: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 reajuste e</w:t>
      </w:r>
      <w:r>
        <w:t xml:space="preserve"> </w:t>
      </w:r>
      <m:oMath>
        <m:r>
          <m:t>φ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sem ele, com</w:t>
      </w:r>
      <w: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i</m:t>
            </m:r>
            <m:r>
              <m:t>p</m:t>
            </m:r>
            <m:r>
              <m:t>c</m:t>
            </m:r>
            <m:r>
              <m:t>a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</m:oMath>
      <w:r>
        <w:t xml:space="preserve">. A potência ofertada passa a ser dada pela Equação (3.45):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arg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k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se 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k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b</m:t>
                              </m:r>
                              <m:r>
                                <m:t>e</m:t>
                              </m:r>
                              <m:r>
                                <m:t>s</m:t>
                              </m:r>
                              <m:r>
                                <m:t>s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&gt;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Π</m:t>
                              </m:r>
                            </m:e>
                            <m:sup>
                              <m:r>
                                <m:t>0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caso contrário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(3.45)</w:t>
            </w:r>
          </w:p>
        </w:tc>
      </w:tr>
    </w:tbl>
    <w:p>
      <w:pPr>
        <w:pStyle w:val="FirstParagraph"/>
      </w:pPr>
      <w:r>
        <w:t xml:space="preserve">O lance mínimo,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  <m:r>
              <m:t>i</m:t>
            </m:r>
            <m:r>
              <m:t>n</m:t>
            </m:r>
          </m:sup>
        </m:sSup>
      </m:oMath>
      <w:r>
        <w:t xml:space="preserve">, é a menor receita fixa para a qual a construção do BESS é vantajosa, isto é, o menor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 o qual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Ele é calculado com resolução de R$ 1 mil/(MW·ano) para as três faixas de investimento e as duas taxas de desconto do Quadro 3.3 e, no caso central, decomposto nas parcelas de capital, O&amp;M, uso da rede, consumo auxiliar, uso mercantil e tributos sobre a receita, cuja soma é o lance. Como os tributos sobre a venda de energia e de hidrogênio pouco mudam entre as alternativas com e sem BESS no lance mínimo, em que a operação do lado mercantil coincide, eles são considerados apenas na receita fixa.</w:t>
      </w:r>
    </w:p>
    <w:bookmarkEnd w:id="38"/>
    <w:bookmarkStart w:id="39" w:name="frequência-do-despacho-do-ons"/>
    <w:p>
      <w:pPr>
        <w:pStyle w:val="Heading3"/>
      </w:pPr>
      <w:r>
        <w:t xml:space="preserve">3.8.3 Frequência do despacho do ONS</w:t>
      </w:r>
    </w:p>
    <w:p>
      <w:pPr>
        <w:pStyle w:val="FirstParagraph"/>
      </w:pPr>
      <w:r>
        <w:t xml:space="preserve">A frequência com que o ONS acionará os sistemas de armazenamento contratados no LRCAP é desconhecida, e o perfil das Seções 3.5 e 3.7.2 adota a hipótese mais intensa, com um ciclo completo por dia. Para avaliar essa hipótese, o modelo admite um número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 despachos por ano. Na ausência de informação sobre o critério do ONS, adota-se como critério o próprio PLD, indicador de quão apertado está o sistema: em cada ano civil, são despachados apenas os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dias com maior PLD médio no período de descarga — 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de maior preço após o período solar, no perfil baseado em preço, ou as horas de descarga fixas, no perfil fixo. A seleção é feita sobre o ano inteiro, de modo que a decomposição em blocos semanais não a altera. Dias com PLD igual, situação frequente em anos com o PLD no piso, são selecionados por uma sequência de baixa discrepância sobre o dia do ano, o que os distribui uniformemente ao longo do ano em vez de concentrá-los nos primeiros dias. Nos dias sem despacho, o módulo LRCAP permanece carregado e não há recarga.</w:t>
      </w:r>
    </w:p>
    <w:p>
      <w:pPr>
        <w:pStyle w:val="BodyText"/>
      </w:pPr>
      <w:r>
        <w:t xml:space="preserve">Como a receita fixa independe da energia despachada e, com os parâmetros da Tabela 3.1,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o despacho afeta o lucro do empreendedor apenas por meio do custo de degradação do módulo LRCAP e do limite do ponto de conexão compartilhado. Se o efeito sobre a conexão for desprezível, o custo associado ao despacho é linear em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conforme a Equação (3.46):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C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(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(3.46)</w:t>
            </w:r>
          </w:p>
        </w:tc>
      </w:tr>
    </w:tbl>
    <w:p>
      <w:pPr>
        <w:pStyle w:val="FirstParagraph"/>
      </w:pPr>
      <w:r>
        <w:t xml:space="preserve">e uma variação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desloca o custo de oportunidade marginal de um valor constante, sem alterar a operação do lado mercantil. As simulações com diferentes valores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permitem verificar essa aproximação.</w:t>
      </w:r>
    </w:p>
    <w:p>
      <w:pPr>
        <w:pStyle w:val="BodyText"/>
      </w:pPr>
      <w:r>
        <w:t xml:space="preserve">Essa relação vale para o BESS existente. Para o BESS a construir, ela permite aproximar o lance mínimo da Seção 3.8.2. No lance mínimo, a potência ofertada tende à potência total do BESS (</w:t>
      </w:r>
      <m:oMath>
        <m:r>
          <m:t>P</m:t>
        </m:r>
        <m:r>
          <m:rPr>
            <m:sty m:val="p"/>
          </m:rPr>
          <m:t>≈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), de modo que o módulo mercantil se anula e a operação do lado mercantil se aproxima da operação sem BESS. Nessa condição,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c</m:t>
                </m:r>
              </m:e>
              <m:sup>
                <m:r>
                  <m:t>d</m:t>
                </m:r>
                <m:r>
                  <m:t>e</m:t>
                </m:r>
                <m:r>
                  <m:t>g</m:t>
                </m:r>
              </m:sup>
            </m:sSup>
            <m:sSup>
              <m:e>
                <m:r>
                  <m:t>H</m:t>
                </m:r>
              </m:e>
              <m:sup>
                <m:r>
                  <m:t>c</m:t>
                </m:r>
                <m:r>
                  <m:t>a</m:t>
                </m:r>
                <m:r>
                  <m:t>p</m:t>
                </m:r>
              </m:sup>
            </m:sSup>
            <m:sSup>
              <m:e>
                <m:r>
                  <m:t>N</m:t>
                </m:r>
              </m:e>
              <m:sup>
                <m:r>
                  <m:t>o</m:t>
                </m:r>
                <m:r>
                  <m:t>n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κ</m:t>
            </m:r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. Como a Equação (3.44) devolve o termo de degradação,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κ</m:t>
            </m:r>
            <m:r>
              <m:rPr>
                <m:sty m:val="p"/>
              </m:rPr>
              <m:t>+</m:t>
            </m:r>
            <m:sSup>
              <m:e>
                <m:r>
                  <m:t>κ</m:t>
                </m:r>
              </m:e>
              <m:sup>
                <m:r>
                  <m:t>a</m:t>
                </m:r>
                <m:r>
                  <m:t>u</m:t>
                </m:r>
                <m:r>
                  <m:t>x</m:t>
                </m:r>
              </m:sup>
            </m:sSup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em que</w:t>
      </w:r>
      <w:r>
        <w:t xml:space="preserve"> </w:t>
      </w:r>
      <m:oMath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</m:oMath>
      <w:r>
        <w:t xml:space="preserve"> </w:t>
      </w:r>
      <w:r>
        <w:t xml:space="preserve">é o consumo auxiliar não custeado, por MW. A condição de indiferença</w:t>
      </w:r>
      <w:r>
        <w:t xml:space="preserve"> </w:t>
      </w:r>
      <m:oMath>
        <m:r>
          <m:t>R</m:t>
        </m:r>
        <m:r>
          <m:t> </m:t>
        </m:r>
        <m:r>
          <m:t>k</m:t>
        </m:r>
        <m:r>
          <m:t> 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+</m:t>
        </m:r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resulta na Equação (3.47):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J</m:t>
                        </m:r>
                        <m:r>
                          <m:t> </m:t>
                        </m:r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t> </m:t>
                        </m:r>
                        <m:r>
                          <m:t>τ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κ</m:t>
                        </m:r>
                      </m:e>
                      <m:sup>
                        <m:r>
                          <m:t>a</m:t>
                        </m:r>
                        <m:r>
                          <m:t>u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(3.47)</w:t>
            </w:r>
          </w:p>
        </w:tc>
      </w:tr>
    </w:tbl>
    <w:p>
      <w:pPr>
        <w:pStyle w:val="FirstParagraph"/>
      </w:pPr>
      <w:r>
        <w:t xml:space="preserve">isto é, o lance mínimo de um BESS a construir corresponde aproximadamente ao seu custo anual equivalente por MW — capital com os juros durante a construção, O&amp;M com reposição de módulos e uso da rede —, acrescido da recarga e do consumo auxiliar não custeados pela CONCAP e dividido pelo fator</w:t>
      </w:r>
      <w:r>
        <w:t xml:space="preserve"> </w:t>
      </w:r>
      <m:oMath>
        <m:r>
          <m:t>k</m:t>
        </m:r>
      </m:oMath>
      <w:r>
        <w:t xml:space="preserve">, que reúne a disponibilidade, os tributos sobre a receita e o reajuste. Como o desgaste do despacho já está no O&amp;M, o lance não depende do custo de degradação por MWh e só depende da frequência do despacho por meio do consumo auxiliar, cuja folga diminui quando o módulo é despachado menos vezes. A aproximação desconsidera o valor residual do uso mercantil da bateria e é verificada no Capítulo 4.</w:t>
      </w:r>
    </w:p>
    <w:p>
      <w:pPr>
        <w:pStyle w:val="BodyText"/>
      </w:pPr>
      <w:r>
        <w:rPr>
          <w:b/>
          <w:bCs/>
        </w:rPr>
        <w:t xml:space="preserve">Dimensionamento do BESS e bateria isolada.</w:t>
      </w:r>
      <w:r>
        <w:t xml:space="preserve"> </w:t>
      </w:r>
      <w:r>
        <w:t xml:space="preserve">As curvas de oferta são obtidas para o BESS de referência, de 60 MW e 300 MWh. Para um BESS construído para o leilão, porém, a potência e a energia podem ser escolhidas junto com o lance. Avalia-se, por isso, o BESS dimensionado para o contrato, com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=</m:t>
        </m:r>
        <m:r>
          <m:t>ρ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isto é, um módulo LRCAP sem módulo mercantil. Como a energia desse módulo é liquidada na CONCAP, ele não altera a operação da usina, e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. O lance mínimo é, então, dado exatamente pela Equação (3.47), com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para cada potência entre</w:t>
      </w:r>
      <w:r>
        <w:t xml:space="preserve"> </w:t>
      </w:r>
      <m:oMath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a potência do BESS de referência. Para isolar o papel do arranjo híbrido, o mesmo cálculo é feito para uma bateria isolada, sem a usina FV e o eletrolisador, cujo montante de uso de injeção é a própria potência (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). Como, no lance, ambas operam apenas o módulo LRCAP, a diferença entre os dois lances mede o valor do compartilhamento da conexão. Esse valor pressupõe que a usina FV com o eletrolisador exista por seus próprios méritos; por isso, calcula-se também o VPL dessa usina sem o BESS, com a receita bruta aproximada pelo lucro operacional somado ao custo variável do hidrogênio. O valor do módulo mercantil é avaliado comparando-se o lucro que ele acrescenta na curva de oferta com o seu custo anual.</w:t>
      </w:r>
    </w:p>
    <w:bookmarkEnd w:id="39"/>
    <w:bookmarkStart w:id="40" w:name="casos-avaliados"/>
    <w:p>
      <w:pPr>
        <w:pStyle w:val="Heading3"/>
      </w:pPr>
      <w:r>
        <w:t xml:space="preserve">3.8.4 Casos avaliados</w:t>
      </w:r>
    </w:p>
    <w:p>
      <w:pPr>
        <w:pStyle w:val="FirstParagraph"/>
      </w:pPr>
      <w:r>
        <w:t xml:space="preserve">A curva de oferta é construída para os cenários anuais da Seção 3.7.2, com o lucro esperado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), nos casos do Quadro 3.2. Os casos variam as hipóteses que a análise do caso de referência indicou como determinantes para o custo de oportunidade: a existência de um limite de demanda de hidrogênio (Seção 3.4.5), a regra de suprimento do eletrolisador pela rede — vedação, limite de emissões ou importação livre —, a frequência do despacho do ONS, o custo de degradação do BESS e o dimensionamento do eletrolisador e do tanque de hidrogênio.</w:t>
      </w:r>
    </w:p>
    <w:p>
      <w:pPr>
        <w:pStyle w:val="Legenda"/>
      </w:pPr>
      <w:r>
        <w:t xml:space="preserve">Quadro 3.2 – Casos avaliados na construção da curva de oferta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376"/>
        <w:gridCol w:w="1742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Contrato de H₂</w:t>
            </w:r>
          </w:p>
        </w:tc>
        <w:tc>
          <w:tcPr/>
          <w:p>
            <w:pPr>
              <w:pStyle w:val="Compact"/>
            </w:pPr>
            <w:r>
              <w:t xml:space="preserve">Importação da rede</w:t>
            </w:r>
          </w:p>
        </w:tc>
        <w:tc>
          <w:tcPr/>
          <w:p>
            <w:pPr>
              <w:pStyle w:val="Compact"/>
            </w:pPr>
            <w:r>
              <w:t xml:space="preserve">Outras alterações em relação à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 (365 despachos/ano;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R$ 50/MWh; eletrolisador de 17,5 MW; tanque de 2 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Custo de 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  <w:r>
              <w:t xml:space="preserve"> </w:t>
            </w:r>
            <w:r>
              <w:t xml:space="preserve">de R$ 100 ou 400/MWh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médio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médio horário do SIN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Limite de emissões, fator marginal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Só ao eletrolisador, com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de 7 ou 3,4 kgCO₂/kgH₂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t</m:t>
                  </m:r>
                </m:sub>
              </m:sSub>
            </m:oMath>
            <w:r>
              <w:t xml:space="preserve"> </w:t>
            </w:r>
            <w:r>
              <w:t xml:space="preserve">= 449 kgCO₂/MWh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Frequência do despacho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50; 150 ou 365 despachos/ano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R$ 100 ou 200/MWh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Eletrolisador de 10 ou 25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Tanque de 10 t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Nos casos com importação, o eletrolisador e o BESS mercantil podem ser supridos pela rede ao PLD acrescido de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, sem limite de emissões. O custo adicional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 </w:t>
      </w:r>
      <w:r>
        <w:t xml:space="preserve">representa, de forma agregada, o que um consumidor conectado à rede paga além da energia: o uso da rede na parcela de consumo — a TUST de consumo de R$ 15,23/kW·mês corresponde a cerca de R$ 21/MWh com o eletrolisador a plena carga, e a mais com fator de capacidade menor —, os encargos setoriais — a Conta de Desenvolvimento Energético (CDE), cuja quota anual de uso, de R$ 41,4 bilhões em 2025 (ANEEL, 2025), corresponde a algumas dezenas de reais por MWh consumido, menos em alta tensão, o Proinfa e os encargos de serviços do sistema e de energia de reserva — e os tributos não recuperáveis sobre a energia comprada, como o ICMS quando não creditado. Esses componentes dependem do nível de tensão, da concessionária, do enquadramento do consumidor — por exemplo, como autoprodutor por equiparação — e de benefícios à produção de hidrogênio ainda em regulamentação (BRASIL, 2024). O valor de R$ 250/MWh é, por isso, uma hipótese do autor, situada na faixa superior desses custos, e o caso de importação livre é avaliado também com R$ 100 e R$ 400/MWh. Nos casos com limite de emissões, a energia da rede, ao mesmo custo, supre apenas o eletrolisador e está sujeita às Equações (3.20) e (3.21), o que representa o critério de qualificação do hidrogênio pela intensidade de emissões (BRASIL, 2024). Ambas as configurações são avaliadas como alternativas à hipótese de suprimento exclusivamente fotovoltaico. Para cada caso, além da curva de oferta, registram-se a potência ótima e a operação média nos cenários para a receita fixa de referência, de R$ 600 mil/(MW·ano), e calcula-se o lance mínimo para a construção do BESS (Seção 3.8.2), com o lucro sem BESS recalculado nos casos que alteram o contrato de hidrogênio, a importação ou o eletrolisador.</w:t>
      </w:r>
    </w:p>
    <w:bookmarkEnd w:id="40"/>
    <w:bookmarkEnd w:id="41"/>
    <w:bookmarkStart w:id="42" w:name="implementação-computacional"/>
    <w:p>
      <w:pPr>
        <w:pStyle w:val="Heading2"/>
      </w:pPr>
      <w:r>
        <w:t xml:space="preserve">3.9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(vi) a construção da curva de oferta; (vii) a análise de viabilidade econômica e do lance mínimo; e (viii)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 e a seleção dos dias de despacho, o limite do ponto de conexão, as entregas do contrato de hidrogênio, o limite de emissões do hidrogênio e a validade dos cortes de Benders. O código e os dados são mantidos sob controle de versão, o que assegura a reprodutibilidade dos resultados.</w:t>
      </w:r>
    </w:p>
    <w:bookmarkEnd w:id="42"/>
    <w:bookmarkStart w:id="43" w:name="hipóteses-e-limitações"/>
    <w:p>
      <w:pPr>
        <w:pStyle w:val="Heading2"/>
      </w:pPr>
      <w:r>
        <w:t xml:space="preserve">3.10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O viés não é uniforme: ele recai sobretudo sobre o módulo mercantil, cuja arbitragem e cujo suprimento noturno do eletrolisador dependem de conhecer os preços e a irradiância das horas seguintes, enquanto a receita fixa do módulo LRCAP não depende de previsão. Superestima-se, portanto, o custo de oportunidade de contratar a potência no leilão, e a potência ótima de um BESS existente tende a ser subestimada, isto é, um operador real ofertaria ao menos a potência indicada pela curva de oferta. No lance mínimo de um BESS a construir, o módulo mercantil é nulo e a operação do lado mercantil coincide nas alternativas com e sem BESS, de modo que o viés praticamente se cancela; no VPL do empreendimento, ele torna o resultado otimista, o que reforça a conclusão de inviabilidade. O tamanho desse viés é medido no Capítulo 4 por uma operação em horizonte rolante de 48 h, com o PLD conhecido na véspera e a geração FV prevista por persistência: em 2025, a perda é de no máximo 0,54% do lucro operacional (Subseção 4.3.2). A incerteza tratada pela Seção 3.7 é apenas a variação entre anos; a incerteza do despacho do ONS, cujo risco é alocado ao empreendedor pela Portaria, é representada somente pela regra de despacho baseada no PLD e pela sensibilidade ao número de despachos por ano (Seção 3.8.3), que supõe despachos completos,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contratada, nos dias de maior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 e suposta reajustada anualmente pelo Índice Nacional de Preços ao Consumidor Amplo (IPCA), regra a confirmar na Portaria e no edital — sem reajuste, o lance mínimo subiria cerca de 25% (Capítulo 4) —, sem o abatimento mensal por desempenho e sem as penalidades por indisponibilidade, cujos detalhes dependem do edital do leilão; o efeito de uma disponibilidade de 97% sobre o lance é avaliado como sensibilidade;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existente é proporcional à energia descarregada, sem dependência da profundidade de descarga, e seu valor de referência (R$ 50/MWh) é inferior ao custo integral de reposição dos módulos, o que é tratado por análise de sensibilidade; na decisão de construir o BESS, o desgaste do uso contratado está no O&amp;M fixo, e o uso mercantil mantém o custo por MWh, hipótese conservadora, pois o O&amp;M de referência já cobre cerca de um ciclo por dia;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do BESS em módulos:</w:t>
      </w:r>
      <w:r>
        <w:t xml:space="preserve"> </w:t>
      </w:r>
      <w:r>
        <w:t xml:space="preserve">a contratação de parte da instalação, com o restante operado no mercado sob medição individualizada, é uma interpretação da Portaria a confirmar no edital (Seção 3.2); sem ela, vale apenas o BESS dimensionado para o contrato. Além disso, 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fronteira entre blocos semanais:</w:t>
      </w:r>
      <w:r>
        <w:t xml:space="preserve"> </w:t>
      </w:r>
      <w:r>
        <w:t xml:space="preserve">no algoritmo de Benders, os estados de armazenamento retornam ao valor inicial ao final de cada semana, o que impede transferências de energia ou de hidrogênio entre semanas; nas avaliações com potência fixa (Seção 3.8), esses estados seguem a relaxação linear do ano inteiro, e a perda em relação ao ótimo anual é limitada pela diferença entre os limites inferior e superior (Seção 3.6.2);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contrato de hidrogênio simplificado:</w:t>
      </w:r>
      <w:r>
        <w:t xml:space="preserve"> </w:t>
      </w:r>
      <w:r>
        <w:t xml:space="preserve">o contrato é representado por um volume diário fixo, a preço fixo e com multa linear por déficit. Não se consideram cláusulas de</w:t>
      </w:r>
      <w:r>
        <w:t xml:space="preserve"> </w:t>
      </w:r>
      <w:r>
        <w:rPr>
          <w:i/>
          <w:iCs/>
        </w:rPr>
        <w:t xml:space="preserve">take-or-pay</w:t>
      </w:r>
      <w:r>
        <w:t xml:space="preserve"> </w:t>
      </w:r>
      <w:r>
        <w:t xml:space="preserve">sobre volumes anuais, flexibilidade de entrega entre dias, reajuste de preço ou a venda do excedente a outros compradores, e a multa adotada, igual ao preço do hidrogênio, é um valor de referência ainda não calibrado com contratos reais. Somada à receita perdida, ela custa ao empreendedor R$ 70 por kg não entregue, o que torna o contrato praticamente firme e eleva o valor atribuído ao BESS no seu cumprimento (Seção 3.4.5);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curva de oferta discreta:</w:t>
      </w:r>
      <w:r>
        <w:t xml:space="preserve"> </w:t>
      </w:r>
      <w:r>
        <w:t xml:space="preserve">a curva é obtida numa grade de 2,5 MW, de modo que a potência ótima e os custos marginais são conhecidos com essa resolução, e não inclui o investimento no BESS;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viabilidade simplificada:</w:t>
      </w:r>
      <w:r>
        <w:t xml:space="preserve"> </w:t>
      </w:r>
      <w:r>
        <w:t xml:space="preserve">a análise de viabilidade considera fluxo de caixa constante em termos reais, antes dos tributos sobre a renda e descontado à taxa antes de impostos, com PIS/Cofins no regime cumulativo e sem encargos setoriais, com prazo de implantação de um ano e juros durante a construção à própria taxa de desconto, sem financiamento, sem benefícios fiscais e sem valor residual; o O&amp;M fixo da FV e do eletrolisador é hipotético, o compressor do hidrogênio não está incluído, o custo do tanque refere-se a metas e estimativas do DOE para vasos estacionários, e não a cotações, a TUST é a média nacional, e não a do barramento de conexão, a regra de cobrança do armazenamento ainda deve ser confirmada no texto da REN ANEEL nº 1.162/2026, a duração de referência e a composição do custo do BESS são estimadas e o consumo auxiliar é um valor indicativo; o lucro operacional é calculado com os parâmetros provisórios de operação;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fora da amostra é feita apenas pela retirada de um ano de cada vez (Subseção 4.3.2); as séries repetem o passado e não representam a evolução dos preços ao longo dos 15 anos do contrato. O PLD horário só existe desde janeiro de 2021, de modo que os cinco anos constituem toda a série horária disponível;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limite de emissões simplificado:</w:t>
      </w:r>
      <w:r>
        <w:t xml:space="preserve"> </w:t>
      </w:r>
      <w:r>
        <w:t xml:space="preserve">a intensidade de emissões é apurada por semana, e não por hora ou por ano, e toda a energia importada é atribuída ao hidrogênio; o fator de emissão da rede é estimado com fatores do IPCC e rendimentos típicos por combustível, e não com o consumo de combustível de cada usina, e os fatores oficiais usados na comparação foram obtidos em fontes secundárias; a energia FV entra com emissão nula, ao passo que seu ciclo de vida, com mediana de 48 gCO₂eq/kWh em usinas de grande porte (SCHLÖMER</w:t>
      </w:r>
      <w:r>
        <w:t xml:space="preserve"> </w:t>
      </w:r>
      <w:r>
        <w:rPr>
          <w:i/>
          <w:iCs/>
        </w:rPr>
        <w:t xml:space="preserve">et al.</w:t>
      </w:r>
      <w:r>
        <w:t xml:space="preserve">, 2014), corresponderia, sozinho, a 2,6 kgCO₂eq/kgH₂; e a metodologia de certificação — fator médio ou marginal, janela de apuração e fronteira do ciclo de vida — depende da regulamentação do Sistema Brasileiro de Certificação do Hidrogênio;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calendário:</w:t>
      </w:r>
      <w:r>
        <w:t xml:space="preserve"> </w:t>
      </w:r>
      <w:r>
        <w:t xml:space="preserve">o ano bissexto de 2024 é operado em 366 dias, mas a receita fixa corresponde a um ano, o que eleva o lucro operacional desse cenário em cerca de um dia de operação, R$ 0,1 milhão, e o lucro esperado em cerca de 0,03%; como o dia adicional está presente com e sem o BESS, o efeito sobre o lance mínimo é desprezível. Como o ano não é múltiplo de sete dias, o último bloco da decomposição tem 8 dias (9 em 2024), e a janela de apuração das emissões desse bloco é de 192 ou 216 horas, em vez de 168.</w:t>
      </w:r>
    </w:p>
    <w:bookmarkEnd w:id="43"/>
    <w:bookmarkStart w:id="44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ANEEL – AGÊNCIA NACIONAL DE ENERGIA ELÉTRICA. Resolução Homologatória nº 3.484, de 15 de julho de 2025. Aprova o orçamento anual da Conta de Desenvolvimento Energético (CDE) para 2025 e fixa as quotas anuais de CDE-USO e CDE-GD. Brasília: ANEEL, 2025.</w:t>
      </w:r>
    </w:p>
    <w:p>
      <w:pPr>
        <w:pStyle w:val="Referencia"/>
      </w:pPr>
      <w:r>
        <w:t xml:space="preserve">ANEEL – AGÊNCIA NACIONAL DE ENERGIA ELÉTRICA.</w:t>
      </w:r>
      <w:r>
        <w:t xml:space="preserve"> </w:t>
      </w:r>
      <w:r>
        <w:rPr>
          <w:b/>
          <w:bCs/>
        </w:rPr>
        <w:t xml:space="preserve">Atualização das taxas regulatórias de remuneração do capital (WACC) dos segmentos de geração, transmissão e distribuição</w:t>
      </w:r>
      <w:r>
        <w:t xml:space="preserve">. Brasília: ANEEL, mar. 2026.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BESS-MARKET.</w:t>
      </w:r>
      <w:r>
        <w:t xml:space="preserve"> </w:t>
      </w:r>
      <w:r>
        <w:rPr>
          <w:b/>
          <w:bCs/>
        </w:rPr>
        <w:t xml:space="preserve">CAPEX Benchmark</w:t>
      </w:r>
      <w:r>
        <w:t xml:space="preserve">: what does a BESS project cost in 2026? 2026. Disponível em: https://bess-market.com/en/knowledge/bess-capex-benchmark-2026/. Acesso em: 13 out. 2026.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BNEF – BLOOMBERGNEF.</w:t>
      </w:r>
      <w:r>
        <w:t xml:space="preserve"> </w:t>
      </w:r>
      <w:r>
        <w:rPr>
          <w:b/>
          <w:bCs/>
        </w:rPr>
        <w:t xml:space="preserve">Lithium-ion battery pack prices fall to $108 per kilowatt-hour, despite rising metal prices</w:t>
      </w:r>
      <w:r>
        <w:t xml:space="preserve">. Londres: BloombergNEF, 9 dez. 2025. Disponível em: https://about.bnef.com. Acesso em: 3 out. 2026.</w:t>
      </w:r>
    </w:p>
    <w:p>
      <w:pPr>
        <w:pStyle w:val="Referencia"/>
      </w:pPr>
      <w:r>
        <w:t xml:space="preserve">BRASIL. Lei nº 9.718, de 27 de novembro de 1998. Altera a Legislação Tributária Federal.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28 nov. 1998.</w:t>
      </w:r>
    </w:p>
    <w:p>
      <w:pPr>
        <w:pStyle w:val="Referencia"/>
      </w:pPr>
      <w:r>
        <w:t xml:space="preserve">BRASIL. Lei nº 10.637, de 30 de dezembro de 2002. Dispõe sobre a não-cumulatividade na cobrança da contribuição para os Programas de Integração Social (PIS) e de Formação do Patrimônio do Servidor Público (Pasep).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31 dez. 2002.</w:t>
      </w:r>
    </w:p>
    <w:p>
      <w:pPr>
        <w:pStyle w:val="Referencia"/>
      </w:pPr>
      <w:r>
        <w:t xml:space="preserve">BRASIL. Lei nº 10.833, de 29 de dezembro de 2003. Altera a Legislação Tributária Federal.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30 dez. 2003.</w:t>
      </w:r>
    </w:p>
    <w:p>
      <w:pPr>
        <w:pStyle w:val="Referencia"/>
      </w:pPr>
      <w:r>
        <w:t xml:space="preserve">BRASIL. Lei nº 12.814, de 16 de maio de 2013. Altera, entre outras, a Lei nº 9.718, de 27 de novembro de 1998, para elevar o limite de receita bruta para opção pelo lucro presumido.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17 maio 2013.</w:t>
      </w:r>
    </w:p>
    <w:p>
      <w:pPr>
        <w:pStyle w:val="Referencia"/>
      </w:pPr>
      <w:r>
        <w:t xml:space="preserve">BRASIL. Lei nº 14.948, de 2 de agosto de 2024. Institui o marco legal do hidrogênio de baixa emissão de carbono e dispõe sobre a Política Nacional do Hidrogênio de Baixa Emissão de Carbono. Brasília, DF: Presidência da República, 2024.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2026a. Disponível em: https://dadosabertos.ccee.org.br. Acesso em: 27 set.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CENÁRIO ENERGIA.</w:t>
      </w:r>
      <w:r>
        <w:t xml:space="preserve"> </w:t>
      </w:r>
      <w:r>
        <w:rPr>
          <w:b/>
          <w:bCs/>
        </w:rPr>
        <w:t xml:space="preserve">ANEEL aprova marco de baterias com tarifação dupla para sistemas sem despacho do ONS</w:t>
      </w:r>
      <w:r>
        <w:t xml:space="preserve">. 2 jun. 2026. Disponível em: https://cenarioenergia.com.br/2026/06/02/aneel-aprova-marco-de-baterias-com-tarifacao-dupla-para-sistemas-sem-despacho-do-ons/. Acesso em: 13 out. 2026.</w:t>
      </w:r>
    </w:p>
    <w:p>
      <w:pPr>
        <w:pStyle w:val="Referencia"/>
      </w:pPr>
      <w:r>
        <w:t xml:space="preserve">CESCON BARRIEU.</w:t>
      </w:r>
      <w:r>
        <w:t xml:space="preserve"> </w:t>
      </w:r>
      <w:r>
        <w:rPr>
          <w:b/>
          <w:bCs/>
        </w:rPr>
        <w:t xml:space="preserve">ANEEL publishes regulation on energy storage systems</w:t>
      </w:r>
      <w:r>
        <w:t xml:space="preserve">. São Paulo, jun. 2026. Disponível em: https://cesconbarrieu.com.br/en/aneel-publishes-regulation-on-energy-storage-systems/. Acesso em: 13 out.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EMBER.</w:t>
      </w:r>
      <w:r>
        <w:t xml:space="preserve"> </w:t>
      </w:r>
      <w:r>
        <w:rPr>
          <w:b/>
          <w:bCs/>
        </w:rPr>
        <w:t xml:space="preserve">How cheap is battery storage?</w:t>
      </w:r>
      <w:r>
        <w:t xml:space="preserve"> </w:t>
      </w:r>
      <w:r>
        <w:t xml:space="preserve">Londres: Ember, dez. 2025. Disponível em: https://ember-energy.org/latest-insights/how-cheap-is-battery-storage/. Acesso em: 13 out. 2026.</w:t>
      </w:r>
    </w:p>
    <w:p>
      <w:pPr>
        <w:pStyle w:val="Referencia"/>
      </w:pPr>
      <w:r>
        <w:t xml:space="preserve">ENERGY CENTRAL.</w:t>
      </w:r>
      <w:r>
        <w:t xml:space="preserve"> </w:t>
      </w:r>
      <w:r>
        <w:rPr>
          <w:b/>
          <w:bCs/>
        </w:rPr>
        <w:t xml:space="preserve">BESS 5 MWh aux consumption</w:t>
      </w:r>
      <w:r>
        <w:t xml:space="preserve">. 2025. Disponível em: https://www.energycentral.com/energy-biz/post/bess-5-mwh-aux-consumption-nB19OmDcUfffS2B. Acesso em: 13 out. 2026.</w:t>
      </w:r>
    </w:p>
    <w:p>
      <w:pPr>
        <w:pStyle w:val="Referencia"/>
      </w:pPr>
      <w:r>
        <w:t xml:space="preserve">EPE – EMPRESA DE PESQUISA ENERGÉTICA.</w:t>
      </w:r>
      <w:r>
        <w:t xml:space="preserve"> </w:t>
      </w:r>
      <w:r>
        <w:rPr>
          <w:b/>
          <w:bCs/>
        </w:rPr>
        <w:t xml:space="preserve">Plano Decenal de Expansão de Energia 2034</w:t>
      </w:r>
      <w:r>
        <w:t xml:space="preserve">: caderno de micro e minigeração distribuída e baterias. Rio de Janeiro: EPE, 2024.</w:t>
      </w:r>
    </w:p>
    <w:p>
      <w:pPr>
        <w:pStyle w:val="Referencia"/>
      </w:pPr>
      <w:r>
        <w:t xml:space="preserve">EPRI.</w:t>
      </w:r>
      <w:r>
        <w:t xml:space="preserve"> </w:t>
      </w:r>
      <w:r>
        <w:rPr>
          <w:b/>
          <w:bCs/>
        </w:rPr>
        <w:t xml:space="preserve">Technology brief: water electrolyzer stack degradation</w:t>
      </w:r>
      <w:r>
        <w:t xml:space="preserve">. Palo Alto: Electric Power Research Institute, ago. 2022. Produto 3002025148. Disponível em: https://restservice.epri.com/publicdownload/000000003002025148/0/Product. Acesso em: 15 out. 2026.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FENG, Z.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Steel concrete composite vessel for 875 bar stationary hydrogen storage</w:t>
      </w:r>
      <w:r>
        <w:t xml:space="preserve">. Apresentação no Annual Merit Review do Hydrogen and Fuel Cells Program. Washington, DC: U.S. Department of Energy, 2014. Disponível em: https://www.hydrogen.energy.gov/docs/hydrogenprogramlibraries/pdfs/review14/pd088_feng_2014_o.pdf. Acesso em: 15 out. 2026.</w:t>
      </w:r>
    </w:p>
    <w:p>
      <w:pPr>
        <w:pStyle w:val="Referencia"/>
      </w:pPr>
      <w:r>
        <w:t xml:space="preserve">GARCÍA-MIGUEL, P. L. C.; ZARILLI, D.; ALONSO-MARTINEZ, J.; GARCÍA PLAZA, M.; ARNALTES GÓMEZ, S. Optimal operation and market integration of a hybrid farm with green hydrogen and energy storage: a stochastic approach considering wind and electricity price uncertainties.</w:t>
      </w:r>
      <w:r>
        <w:t xml:space="preserve"> </w:t>
      </w:r>
      <w:r>
        <w:rPr>
          <w:b/>
          <w:bCs/>
        </w:rPr>
        <w:t xml:space="preserve">Sustainability</w:t>
      </w:r>
      <w:r>
        <w:t xml:space="preserve">, v. 16, n. 7, 2856, 2024.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2025</w:t>
      </w:r>
      <w:r>
        <w:t xml:space="preserve">. Paris: IEA, out. 2025.</w:t>
      </w:r>
    </w:p>
    <w:p>
      <w:pPr>
        <w:pStyle w:val="Referencia"/>
      </w:pPr>
      <w:r>
        <w:t xml:space="preserve">IPCC – INTERGOVERNMENTAL PANEL ON CLIMATE CHANGE.</w:t>
      </w:r>
      <w:r>
        <w:t xml:space="preserve"> </w:t>
      </w:r>
      <w:r>
        <w:rPr>
          <w:b/>
          <w:bCs/>
        </w:rPr>
        <w:t xml:space="preserve">2006 IPCC Guidelines for National Greenhouse Gas Inventories</w:t>
      </w:r>
      <w:r>
        <w:t xml:space="preserve">. v. 2: Energy. Hayama: IGES, 2006.</w:t>
      </w:r>
    </w:p>
    <w:p>
      <w:pPr>
        <w:pStyle w:val="Referencia"/>
      </w:pPr>
      <w:r>
        <w:t xml:space="preserve">MCTI – MINISTÉRIO DA CIÊNCIA, TECNOLOGIA E INOVAÇÃO.</w:t>
      </w:r>
      <w:r>
        <w:t xml:space="preserve"> </w:t>
      </w:r>
      <w:r>
        <w:rPr>
          <w:b/>
          <w:bCs/>
        </w:rPr>
        <w:t xml:space="preserve">Fatores de emissão de CO₂ pela geração de energia elétrica no Sistema Interligado Nacional</w:t>
      </w:r>
      <w:r>
        <w:t xml:space="preserve">. Brasília: MCTI, 2025. Disponível em: https://www.gov.br/mcti/pt-br/acompanhe-o-mcti/sirene/dados-e-ferramentas/fatores-de-emissao.</w:t>
      </w:r>
    </w:p>
    <w:p>
      <w:pPr>
        <w:pStyle w:val="Referencia"/>
      </w:pPr>
      <w:r>
        <w:t xml:space="preserve">MOVIMENTO ECONÔMICO.</w:t>
      </w:r>
      <w:r>
        <w:t xml:space="preserve"> </w:t>
      </w:r>
      <w:r>
        <w:rPr>
          <w:b/>
          <w:bCs/>
        </w:rPr>
        <w:t xml:space="preserve">Aneel conclui tarifas de transmissão e NE sai favorecido no ciclo 2026/2027</w:t>
      </w:r>
      <w:r>
        <w:t xml:space="preserve">. 29 jun. 2026. Disponível em: https://movimentoeconomico.com.br/economia/energia/2026/06/29/aneel-conclui-tarifas-de-transmissao-e-ne-sai-favorecido-no-ciclo-2026-2027/. Acesso em: 13 out. 2026.</w:t>
      </w:r>
    </w:p>
    <w:p>
      <w:pPr>
        <w:pStyle w:val="Referencia"/>
      </w:pPr>
      <w:r>
        <w:t xml:space="preserve">NREL – NATIONAL RENEWABLE ENERGY LABORATORY.</w:t>
      </w:r>
      <w:r>
        <w:t xml:space="preserve"> </w:t>
      </w:r>
      <w:r>
        <w:rPr>
          <w:b/>
          <w:bCs/>
        </w:rPr>
        <w:t xml:space="preserve">2024 Annual Technology Baseline</w:t>
      </w:r>
      <w:r>
        <w:t xml:space="preserve">: utility-scale battery storage. Golden: NREL, 2024. Disponível em: https://atb.nrel.gov/electricity/2024/utility-scale_battery_storage. Acesso em: 13 out. 2026.</w:t>
      </w:r>
    </w:p>
    <w:p>
      <w:pPr>
        <w:pStyle w:val="Referencia"/>
      </w:pPr>
      <w:r>
        <w:t xml:space="preserve">ONS – OPERADOR NACIONAL DO SISTEMA ELÉTRICO.</w:t>
      </w:r>
      <w:r>
        <w:t xml:space="preserve"> </w:t>
      </w:r>
      <w:r>
        <w:rPr>
          <w:b/>
          <w:bCs/>
        </w:rPr>
        <w:t xml:space="preserve">Geração por usina em base horária</w:t>
      </w:r>
      <w:r>
        <w:t xml:space="preserve">. Portal de Dados Abertos do ONS, 2026. Disponível em: https://dados.ons.org.br. Acesso em: 14 out. 2026.</w:t>
      </w:r>
    </w:p>
    <w:p>
      <w:pPr>
        <w:pStyle w:val="Referencia"/>
      </w:pPr>
      <w:r>
        <w:t xml:space="preserve">RADAR ENERGIA.</w:t>
      </w:r>
      <w:r>
        <w:t xml:space="preserve"> </w:t>
      </w:r>
      <w:r>
        <w:rPr>
          <w:b/>
          <w:bCs/>
        </w:rPr>
        <w:t xml:space="preserve">Aneel homologa tarifas de transmissão 2026/2027 com alta de 9,41% na RAP e impacto médio de 1,1% ao consumidor</w:t>
      </w:r>
      <w:r>
        <w:t xml:space="preserve">. 2026. Disponível em: https://portalradarenergia.com.br/noticias/aneel-homologa-tarifas-de-transmissao-2026-2027-com-alta-de-9-41-na-rap-e-impact-9e740a13. Acesso em: 13 out. 2026.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SCHLÖMER, S.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Annex III: technology-specific cost and performance parameters.</w:t>
      </w:r>
      <w:r>
        <w:t xml:space="preserve"> </w:t>
      </w:r>
      <w:r>
        <w:rPr>
          <w:i/>
          <w:iCs/>
        </w:rPr>
        <w:t xml:space="preserve">In</w:t>
      </w:r>
      <w:r>
        <w:t xml:space="preserve">: IPCC – INTERGOVERNMENTAL PANEL ON CLIMATE CHANGE.</w:t>
      </w:r>
      <w:r>
        <w:t xml:space="preserve"> </w:t>
      </w:r>
      <w:r>
        <w:rPr>
          <w:b/>
          <w:bCs/>
        </w:rPr>
        <w:t xml:space="preserve">Climate Change 2014</w:t>
      </w:r>
      <w:r>
        <w:t xml:space="preserve">: mitigation of climate change. Cambridge: Cambridge University Press, 2014.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p>
      <w:pPr>
        <w:pStyle w:val="Referencia"/>
      </w:pPr>
      <w:r>
        <w:t xml:space="preserve">UNIÃO EUROPEIA. Regulamento Delegado (UE) 2023/1184 da Comissão, de 10 de fevereiro de 2023, que completa a Diretiva (UE) 2018/2001 do Parlamento Europeu e do Conselho mediante o estabelecimento de uma metodologia da União que defina regras pormenorizadas para a produção de combustíveis líquidos e gasosos renováveis de origem não biológica para os transportes.</w:t>
      </w:r>
      <w:r>
        <w:t xml:space="preserve"> </w:t>
      </w:r>
      <w:r>
        <w:rPr>
          <w:b/>
          <w:bCs/>
        </w:rPr>
        <w:t xml:space="preserve">Jornal Oficial da União Europeia</w:t>
      </w:r>
      <w:r>
        <w:t xml:space="preserve">, L 157, 20 jun. 2023a.</w:t>
      </w:r>
    </w:p>
    <w:p>
      <w:pPr>
        <w:pStyle w:val="Referencia"/>
      </w:pPr>
      <w:r>
        <w:t xml:space="preserve">UNIÃO EUROPEIA. Regulamento Delegado (UE) 2023/1185 da Comissão, de 10 de fevereiro de 2023, que estabelece um limiar mínimo de redução das emissões de gases com efeito de estufa para os combustíveis de carbono reciclado e uma metodologia de avaliação da redução das emissões dos combustíveis renováveis de origem não biológica.</w:t>
      </w:r>
      <w:r>
        <w:t xml:space="preserve"> </w:t>
      </w:r>
      <w:r>
        <w:rPr>
          <w:b/>
          <w:bCs/>
        </w:rPr>
        <w:t xml:space="preserve">Jornal Oficial da União Europeia</w:t>
      </w:r>
      <w:r>
        <w:t xml:space="preserve">, L 157, 20 jun. 2023b.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44"/>
    <w:bookmarkEnd w:id="45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2026-10-20T11:45:08Z</dcterms:created>
  <dcterms:modified xsi:type="dcterms:W3CDTF">2026-10-20T11:45:08Z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