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9.png" ContentType="image/png"/>
  <Override PartName="/word/media/rId38.png" ContentType="image/png"/>
  <Override PartName="/word/media/rId42.png" ContentType="image/png"/>
  <Override PartName="/word/media/rId45.png" ContentType="image/png"/>
  <Override PartName="/word/media/rId34.png" ContentType="image/png"/>
  <Override PartName="/word/media/rId17.png" ContentType="image/png"/>
  <Override PartName="/word/media/rId24.png" ContentType="image/png"/>
  <Override PartName="/word/media/rId52.png" ContentType="image/png"/>
  <Override PartName="/word/media/rId4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4.3.8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 comparação da composição, porém, não isola o efeito de um único fator, pois os dois casos diferem em quatro hipóteses: os anos de preço (2025 contra 2021 a 2025), a base de irradiância (ERA5 de 2023, reposicionada no calendário de 2025, contra SARAH-3), a regra de despacho do ONS (perfil fixo contra perfil baseado no PLD) e o custo de partida do eletrolisador (nulo contra R$ 500 por partida). Embora a série ERA5 apresente fator de capacidade FV ligeiramente inferior ao da média dos cenários SARAH-3 (16,9% contra 17,5%), o caso determinístico produz mais hidrogênio. Duas causas contribuem para isso: no modelo estocástico, os picos de PLD do cenário de 2021, que superam o valor da energia no eletrolisador, tornam a exportação ao MCP mais vantajosa em parte das horas, e o custo de partida desestimula ligamentos curtos do eletrolisador. A coincidência das potências ótimas, apesar dessas diferenças,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Nos casos sem contrato, os dois tratamentos diferem em no máximo 0,05% no lucro esperado. Por isso, as curvas de oferta e as avaliações com potência fixa deste capítulo adotam, para cada caso, potência e cenário, o maior dos dois limites inferiores — com os estados de fronteira da relaxação ou com a condição cíclica semanal —, pois ambos correspondem a operações viáveis do ano; o limite superior é o da relaxação. Nos casos sem contrato, a condição cíclica fica até 0,05% acima; nos casos com contrato, a relaxação fica de 2% a 4% acima. Nessas avaliações, a recarga do módulo LRCAP acima da custeada pela CONCAP é apurada no ano inteiro, e não por bloco: com 50 ou 150 despachos por ano, a apuração por bloco cobraria como excedente a recarga de um despacho realizado no fim de uma semana, que cai no bloco seguinte, sem a injeção correspondente, o que reduziria o lucro em R$ 3 mil a R$ 4 mil/(MW·ano). Com essas duas regras, a diferença entre os limites inferior e superior fica abaixo de 0,1% até 55 MW nos casos sem contrato, exceto com o eletrolisador de 25 MW (0,19%).3, 4.3.4 e 4.3.7, foram calculados com a fronteira da relaxação.</w:t>
      </w:r>
    </w:p>
    <w:bookmarkEnd w:id="12"/>
    <w:bookmarkStart w:id="23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a Subseção 4.2.3, a sensibilidade do lance mínimo às hipóteses do modelo; e a Subseção 4.2.4, o dimensionamento do BESS e a comparação com uma bateria isolada.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4.2 e na Figura 4.2.</w:t>
      </w:r>
    </w:p>
    <w:p>
      <w:pPr>
        <w:pStyle w:val="Legenda"/>
      </w:pPr>
      <w:r>
        <w:t xml:space="preserve">Tabela 4.2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72,1</w:t>
            </w:r>
          </w:p>
        </w:tc>
        <w:tc>
          <w:tcPr/>
          <w:p>
            <w:pPr>
              <w:pStyle w:val="Compact"/>
            </w:pPr>
            <w:r>
              <w:t xml:space="preserve">−546 (−722 a −321)</w:t>
            </w:r>
          </w:p>
        </w:tc>
        <w:tc>
          <w:tcPr/>
          <w:p>
            <w:pPr>
              <w:pStyle w:val="Compact"/>
            </w:pPr>
            <w:r>
              <w:t xml:space="preserve">−454</w:t>
            </w:r>
          </w:p>
        </w:tc>
        <w:tc>
          <w:tcPr/>
          <w:p>
            <w:pPr>
              <w:pStyle w:val="Compact"/>
            </w:pPr>
            <w:r>
              <w:t xml:space="preserve">−3,1%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−584 (−760 a −359)</w:t>
            </w:r>
          </w:p>
        </w:tc>
        <w:tc>
          <w:tcPr/>
          <w:p>
            <w:pPr>
              <w:pStyle w:val="Compact"/>
            </w:pPr>
            <w:r>
              <w:t xml:space="preserve">−502</w:t>
            </w:r>
          </w:p>
        </w:tc>
        <w:tc>
          <w:tcPr/>
          <w:p>
            <w:pPr>
              <w:pStyle w:val="Compact"/>
            </w:pPr>
            <w:r>
              <w:t xml:space="preserve">−4,6%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−564 (−739 a −338)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−3,8%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de 10 t</w:t>
            </w:r>
          </w:p>
        </w:tc>
        <w:tc>
          <w:tcPr/>
          <w:p>
            <w:pPr>
              <w:pStyle w:val="Compact"/>
            </w:pPr>
            <w:r>
              <w:t xml:space="preserve">835</w:t>
            </w:r>
          </w:p>
        </w:tc>
        <w:tc>
          <w:tcPr/>
          <w:p>
            <w:pPr>
              <w:pStyle w:val="Compact"/>
            </w:pPr>
            <w:r>
              <w:t xml:space="preserve">71,1</w:t>
            </w:r>
          </w:p>
        </w:tc>
        <w:tc>
          <w:tcPr/>
          <w:p>
            <w:pPr>
              <w:pStyle w:val="Compact"/>
            </w:pPr>
            <w:r>
              <w:t xml:space="preserve">−599 (−779 a −359)</w:t>
            </w:r>
          </w:p>
        </w:tc>
        <w:tc>
          <w:tcPr/>
          <w:p>
            <w:pPr>
              <w:pStyle w:val="Compact"/>
            </w:pPr>
            <w:r>
              <w:t xml:space="preserve">−507</w:t>
            </w:r>
          </w:p>
        </w:tc>
        <w:tc>
          <w:tcPr/>
          <w:p>
            <w:pPr>
              <w:pStyle w:val="Compact"/>
            </w:pPr>
            <w:r>
              <w:t xml:space="preserve">−3,9%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107,0</w:t>
            </w:r>
          </w:p>
        </w:tc>
        <w:tc>
          <w:tcPr/>
          <w:p>
            <w:pPr>
              <w:pStyle w:val="Compact"/>
            </w:pPr>
            <w:r>
              <w:t xml:space="preserve">−355 (−538 a −116)</w:t>
            </w:r>
          </w:p>
        </w:tc>
        <w:tc>
          <w:tcPr/>
          <w:p>
            <w:pPr>
              <w:pStyle w:val="Compact"/>
            </w:pPr>
            <w:r>
              <w:t xml:space="preserve">−214</w:t>
            </w:r>
          </w:p>
        </w:tc>
        <w:tc>
          <w:tcPr/>
          <w:p>
            <w:pPr>
              <w:pStyle w:val="Compact"/>
            </w:pPr>
            <w:r>
              <w:t xml:space="preserve">3,6%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80,7</w:t>
            </w:r>
          </w:p>
        </w:tc>
        <w:tc>
          <w:tcPr/>
          <w:p>
            <w:pPr>
              <w:pStyle w:val="Compact"/>
            </w:pPr>
            <w:r>
              <w:t xml:space="preserve">−526 (−708 a −288)</w:t>
            </w:r>
          </w:p>
        </w:tc>
        <w:tc>
          <w:tcPr/>
          <w:p>
            <w:pPr>
              <w:pStyle w:val="Compact"/>
            </w:pPr>
            <w:r>
              <w:t xml:space="preserve">−431</w:t>
            </w:r>
          </w:p>
        </w:tc>
        <w:tc>
          <w:tcPr/>
          <w:p>
            <w:pPr>
              <w:pStyle w:val="Compact"/>
            </w:pPr>
            <w:r>
              <w:t xml:space="preserve">−1,7%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−539 (−715 a −313)</w:t>
            </w:r>
          </w:p>
        </w:tc>
        <w:tc>
          <w:tcPr/>
          <w:p>
            <w:pPr>
              <w:pStyle w:val="Compact"/>
            </w:pPr>
            <w:r>
              <w:t xml:space="preserve">−445</w:t>
            </w:r>
          </w:p>
        </w:tc>
        <w:tc>
          <w:tcPr/>
          <w:p>
            <w:pPr>
              <w:pStyle w:val="Compact"/>
            </w:pPr>
            <w:r>
              <w:t xml:space="preserve">−2,8%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92,6</w:t>
            </w:r>
          </w:p>
        </w:tc>
        <w:tc>
          <w:tcPr/>
          <w:p>
            <w:pPr>
              <w:pStyle w:val="Compact"/>
            </w:pPr>
            <w:r>
              <w:t xml:space="preserve">−451 (−635 a −212)</w:t>
            </w:r>
          </w:p>
        </w:tc>
        <w:tc>
          <w:tcPr/>
          <w:p>
            <w:pPr>
              <w:pStyle w:val="Compact"/>
            </w:pPr>
            <w:r>
              <w:t xml:space="preserve">−336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77,5</w:t>
            </w:r>
          </w:p>
        </w:tc>
        <w:tc>
          <w:tcPr/>
          <w:p>
            <w:pPr>
              <w:pStyle w:val="Compact"/>
            </w:pPr>
            <w:r>
              <w:t xml:space="preserve">−531 (−711 a −298)</w:t>
            </w:r>
          </w:p>
        </w:tc>
        <w:tc>
          <w:tcPr/>
          <w:p>
            <w:pPr>
              <w:pStyle w:val="Compact"/>
            </w:pPr>
            <w:r>
              <w:t xml:space="preserve">−441</w:t>
            </w:r>
          </w:p>
        </w:tc>
        <w:tc>
          <w:tcPr/>
          <w:p>
            <w:pPr>
              <w:pStyle w:val="Compact"/>
            </w:pPr>
            <w:r>
              <w:t xml:space="preserve">−2,1%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74,4</w:t>
            </w:r>
          </w:p>
        </w:tc>
        <w:tc>
          <w:tcPr/>
          <w:p>
            <w:pPr>
              <w:pStyle w:val="Compact"/>
            </w:pPr>
            <w:r>
              <w:t xml:space="preserve">−533 (−708 a −307)</w:t>
            </w:r>
          </w:p>
        </w:tc>
        <w:tc>
          <w:tcPr/>
          <w:p>
            <w:pPr>
              <w:pStyle w:val="Compact"/>
            </w:pPr>
            <w:r>
              <w:t xml:space="preserve">−436</w:t>
            </w:r>
          </w:p>
        </w:tc>
        <w:tc>
          <w:tcPr/>
          <w:p>
            <w:pPr>
              <w:pStyle w:val="Compact"/>
            </w:pPr>
            <w:r>
              <w:t xml:space="preserve">−2,6%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711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−506 (−659 a −322)</w:t>
            </w:r>
          </w:p>
        </w:tc>
        <w:tc>
          <w:tcPr/>
          <w:p>
            <w:pPr>
              <w:pStyle w:val="Compact"/>
            </w:pPr>
            <w:r>
              <w:t xml:space="preserve">−430</w:t>
            </w:r>
          </w:p>
        </w:tc>
        <w:tc>
          <w:tcPr/>
          <w:p>
            <w:pPr>
              <w:pStyle w:val="Compact"/>
            </w:pPr>
            <w:r>
              <w:t xml:space="preserve">−3,5%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873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−612 (−813 a −340)</w:t>
            </w:r>
          </w:p>
        </w:tc>
        <w:tc>
          <w:tcPr/>
          <w:p>
            <w:pPr>
              <w:pStyle w:val="Compact"/>
            </w:pPr>
            <w:r>
              <w:t xml:space="preserve">−512</w:t>
            </w:r>
          </w:p>
        </w:tc>
        <w:tc>
          <w:tcPr/>
          <w:p>
            <w:pPr>
              <w:pStyle w:val="Compact"/>
            </w:pPr>
            <w:r>
              <w:t xml:space="preserve">−3,4%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</w:tbl>
    <w:p>
      <w:pPr>
        <w:pStyle w:val="Fonte"/>
      </w:pPr>
      <w:r>
        <w:t xml:space="preserve">Fonte: elaborado pelo autor. Investimento (sem os juros durante a construção), TIR e preço de equilíbrio do H₂ (H₂ eq., à taxa de 12,1%) com investimento central; o VPL inclui os juros durante a construção (um ano) e as trocas de pilhas do eletrolisador; entre parênteses, VPL a 12,1% com investimento alto e baixo. O lucro operacional exclui a degradação do módulo LRCAP, coberta pelo O&amp;M fixo, e o fluxo desconta o O&amp;M fixo, o uso da rede e o PIS/Cofins de 3,65% sobre a receita bruta (Seção 3.8.2). Limites de emissões em kgCO₂/kgH₂ (Subseção 4.3.5). Nos casos de eletrolisador de 10 MW e de limite de emissões com fator marginal, o preço de equilíbrio usa o H₂ vendido na potência ótima da curva de oferta (50 ou 52,5 MW), e não na de 55 MW do VPL, e fica levemente subestimado.</w:t>
      </w:r>
    </w:p>
    <w:p>
      <w:pPr>
        <w:pStyle w:val="BodyText"/>
      </w:pPr>
      <w:r>
        <w:t xml:space="preserve">Com os parâmetros adotados, nenhum caso central é economicamente viável. No caso de referência, o investimento de R$ 792 milhões — R$ 212 milhões na usina FV, R$ 380 milhões no BESS, R$ 189 milhões no eletrolisador e R$ 11 milhões no tanque de hidrogênio —, acrescido de R$ 47 milhões de juros durante a construção, gera fluxo anual de R$ 43,1 milhões, após R$ 18,3 milhões de O&amp;M fixo, R$ 7,9 milhões de uso da rede e R$ 2,7 milhões de PIS/Cofins, e a TIR real é negativa (−3,1%). O preço do hidrogênio que tornaria o VPL nulo à taxa de 12,1% é de cerca de R$ 116/kg, mais que o triplo do valor adotado (R$ 89/kg à taxa de 8%). O caso de importação de energia, o de maior lucro, tem VPL negativo em toda a faixa de investimento e nas duas taxas, mesmo com a troca de pilhas que o seu fator de capacidade de 0,92 exige no oitavo ano (R$ 30 milhões em valor presente); no cenário mais favorável, com investimento baixo e taxa de 8%, o VPL é de −R$ 86 milhões. Apenas com custo adicional de importação de R$ 100/MWh, investimento baixo e taxa de 8% o VPL se torna positivo, de R$ 34 milhões, o único caso viável dentre os avaliados, o que antecipa a importância da regra de suprimento do eletrolisador discutida nas Subseções 4.3.4 e 4.3.5. Com o limite de emissões do marco legal, o resultado depende do fator de emissão da rede: com o fator médio do SIN, o VPL é praticamente o da importação livre; com o fator marginal, fica entre este e o do caso de referência.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R$ 72,1 milhões. O ganho, de R$ 35,5 milhões por ano depois do PIS/Cofins sobre a receita fixa, não cobre o custo anual equivalente do BESS, de R$ 70,1 milhões à taxa de 12,1% com investimento central — R$ 59,3 milhões de capital, incluídos os juros durante a construção, R$ 9,5 milhões de O&amp;M com reposição de módulos e R$ 1,3 milhão de acréscimo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4.3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4.3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1.106 (60 MW)</w:t>
            </w:r>
          </w:p>
        </w:tc>
        <w:tc>
          <w:tcPr/>
          <w:p>
            <w:pPr>
              <w:pStyle w:val="Compact"/>
            </w:pPr>
            <w:r>
              <w:t xml:space="preserve">1.214 (60 MW)</w:t>
            </w:r>
          </w:p>
        </w:tc>
        <w:tc>
          <w:tcPr/>
          <w:p>
            <w:pPr>
              <w:pStyle w:val="Compact"/>
            </w:pPr>
            <w:r>
              <w:t xml:space="preserve">1.322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897 (60 MW)</w:t>
            </w:r>
          </w:p>
        </w:tc>
        <w:tc>
          <w:tcPr/>
          <w:p>
            <w:pPr>
              <w:pStyle w:val="Compact"/>
            </w:pPr>
            <w:r>
              <w:t xml:space="preserve">984 (60 MW)</w:t>
            </w:r>
          </w:p>
        </w:tc>
        <w:tc>
          <w:tcPr/>
          <w:p>
            <w:pPr>
              <w:pStyle w:val="Compact"/>
            </w:pPr>
            <w:r>
              <w:t xml:space="preserve">1.072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 de referência, de 60 MW. Com a bateria dimensionada para o contrato, a oferta deixa de ser</w:t>
      </w:r>
      <w:r>
        <w:t xml:space="preserve"> </w:t>
      </w:r>
      <w:r>
        <w:t xml:space="preserve">“tudo ou nada”</w:t>
      </w:r>
      <w:r>
        <w:t xml:space="preserve"> </w:t>
      </w:r>
      <w:r>
        <w:t xml:space="preserve">(Subseção 4.2.4). A curva escalonada da Seção 4.3 descreve, portanto, a decisão de um proponente que já dispõe do BESS. O lance mínimo no caso central é de R$ 1,214 milhão/(MW·ano) e corresponde ao custo anual equivalente do BESS por MW, acrescido do PIS/Cofins sobre a receita fixa (Figura 4.3(b)): R$ 989 mil de capital, dos quais R$ 55 mil de juros durante a construção, R$ 158 mil de O&amp;M com reposição de módulos, R$ 22 mil de acréscimo de uso da rede e R$ 45 mil de tributos sobre a receita. O capital reflete a energia da bateria: com 300 MWh, ou 5 h, o investimento é de R$ 380 milhões, 15% acima do valor de referência de um sistema de 4 h. O uso da rede pesa pouco porque a bateria compartilha a conexão com a usina FV e eleva o montante de uso de injeção em apenas 10 MW. As demais parcelas são nulas: o consumo auxiliar de 1% da potência cabe na folga de recarga custeada pela CONCAP, e, com 60 MW contratados, o módulo mercantil se anula, de modo que o uso mercantil da bateria não reduz o lance. O lance mínimo supera em 46% o preço médio obtido por termelétricas existentes no LRCAP de março de 2026 (R$ 831 mil/(MW·ano)) — mesmo no cenário mais favorável, com investimento baixo e taxa de 8%, ele fica em R$ 897 mil — e é muito inferior ao das termelétricas e hidrelétricas do leilão anterior (R$ 2,33 milhões/(MW·ano)). Essa comparação, porém, é apenas indicativa, pois os produtos não são equivalentes. As termelétricas do LRCAP, além da receita fixa, são ressarcidas do custo variável unitário (CVU) da energia que geram quando despachadas e podem sustentar a potência por tempo indeterminado; a bateria entrega a potência por, no máximo, 4 h a cada despacho e arca com as perdas e o consumo auxiliar além da folga de recarga custeada pela CONCAP. A receita fixa por MW·ano não mede, assim, o custo total de cada fonte para o consumidor nem sua contribuição para a confiabilidade do sistema; uma comparação rigorosa exigiria o custo por MW de capacidade equivalente, que depende da contribuição de cada tecnologia para o atendimento da ponta, e está fora do escopo deste trabalho. Com essa ressalva, o lance situa-se entre o preço das usinas existentes e o da expansão térmica e hidrelétrica. A receita de R$ 600 mil/(MW·ano) adotada no caso de referência é inferior ao lance mínimo em todas as combinações avaliadas: com ela, um proponente racional não construiria o BESS.</w:t>
      </w:r>
    </w:p>
    <w:bookmarkEnd w:id="20"/>
    <w:bookmarkStart w:id="21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4.4.</w:t>
      </w:r>
    </w:p>
    <w:p>
      <w:pPr>
        <w:pStyle w:val="Legenda"/>
      </w:pPr>
      <w:r>
        <w:t xml:space="preserve">Tabela 4.4 – Lance mínimo para a construção do BESS com uma hipótese alterada de cada vez em relação ao caso central (investimento de referência de R$ 5.500/kW para 4 h, taxa de 12,1%, PIS/Cofins de 3,65%, receita reajustada pelo IPCA e implantação em um ano)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R$ 5.000/kW</w:t>
            </w:r>
          </w:p>
        </w:tc>
        <w:tc>
          <w:tcPr/>
          <w:p>
            <w:pPr>
              <w:pStyle w:val="Compact"/>
            </w:pPr>
            <w:r>
              <w:t xml:space="preserve">1.106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R$ 6.000/kW</w:t>
            </w:r>
          </w:p>
        </w:tc>
        <w:tc>
          <w:tcPr/>
          <w:p>
            <w:pPr>
              <w:pStyle w:val="Compact"/>
            </w:pPr>
            <w:r>
              <w:t xml:space="preserve">1.322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da EPE para 3 h</w:t>
            </w:r>
          </w:p>
        </w:tc>
        <w:tc>
          <w:tcPr/>
          <w:p>
            <w:pPr>
              <w:pStyle w:val="Compact"/>
            </w:pPr>
            <w:r>
              <w:t xml:space="preserve">1.473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45%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75%</w:t>
            </w:r>
          </w:p>
        </w:tc>
        <w:tc>
          <w:tcPr/>
          <w:p>
            <w:pPr>
              <w:pStyle w:val="Compact"/>
            </w:pPr>
            <w:r>
              <w:t xml:space="preserve">1.253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1.279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1.203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1.232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Conexão não compartilhada</w:t>
            </w:r>
          </w:p>
        </w:tc>
        <w:tc>
          <w:tcPr/>
          <w:p>
            <w:pPr>
              <w:pStyle w:val="Compact"/>
            </w:pPr>
            <w:r>
              <w:t xml:space="preserve">1.327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Cobrança também da TUST de consumo</w:t>
            </w:r>
          </w:p>
        </w:tc>
        <w:tc>
          <w:tcPr/>
          <w:p>
            <w:pPr>
              <w:pStyle w:val="Compact"/>
            </w:pPr>
            <w:r>
              <w:t xml:space="preserve">1.404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sem a folga de recarga da CONCAP</w:t>
            </w:r>
          </w:p>
        </w:tc>
        <w:tc>
          <w:tcPr/>
          <w:p>
            <w:pPr>
              <w:pStyle w:val="Compact"/>
            </w:pPr>
            <w:r>
              <w:t xml:space="preserve">1.229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PIS/Cofins</w:t>
            </w:r>
          </w:p>
        </w:tc>
        <w:tc>
          <w:tcPr/>
          <w:p>
            <w:pPr>
              <w:pStyle w:val="Compact"/>
            </w:pPr>
            <w:r>
              <w:t xml:space="preserve">1.170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PIS/Cofins não cumulativo (9,25%)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sem reajuste pelo IPCA (4% a.a.)</w:t>
            </w:r>
          </w:p>
        </w:tc>
        <w:tc>
          <w:tcPr/>
          <w:p>
            <w:pPr>
              <w:pStyle w:val="Compact"/>
            </w:pPr>
            <w:r>
              <w:t xml:space="preserve">1.515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juros durante a construção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Implantação em 2 anos</w:t>
            </w:r>
          </w:p>
        </w:tc>
        <w:tc>
          <w:tcPr/>
          <w:p>
            <w:pPr>
              <w:pStyle w:val="Compact"/>
            </w:pPr>
            <w:r>
              <w:t xml:space="preserve">1.276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1.222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 do BESS. A de maior efeito é a duração a que se refere o custo da EPE: se os R$ 5.500/kW corresponderem a um sistema de 3 h, e não de 4 h, a energia da bateria de 5 h fica mais cara e o lance sobe 21%. Seguem a taxa de desconto (−19% com a taxa após impostos, que ignora o imposto de renda), a regra de cobrança do uso da rede (+16% se o armazenamento pagar também a TUST de consumo e +9% sem compartilhar a conexão), o investimento de referência (±9%), o O&amp;M (±5% para ±1 ponto percentual) e o prazo de implantação (−5% sem juros durante a construção e +5% com dois anos de implantação). A parcela do custo proporcional à energia (±3%), a disponibilidade de 97% (+3%), a TUST regional (±1%) e o consumo auxiliar pesam pouco: com 2% da potência, ou sem a folga de recarga custeada pela CONCAP, o lance sobe 1%, de modo que a interpretação adotada para o consumo auxiliar (Seção 3.8.2) não é determinante. O investimento de referência merece uma comparação com o mercado internacional. Os R$ 5.500/kW da EPE, tomados como custo de um sistema de 4 h, equivalem a cerca de US$ 254/kWh, acima das referências recentes: a pesquisa de custos da BloombergNEF de 2025 indica média mundial de US$ 110/kWh para sistemas completos de 4 h, de US$ 177/kWh na Europa e de US$ 219/kWh nos Estados Unidos (ENERGY-STORAGE.NEWS, 2025), e a Ember estima US$ 125/kWh para projetos de grande porte fora da China e dos Estados Unidos, incluídas a instalação e a conexão, em outubro de 2025 (EMBER, 2025). Com esses valores, convertidos pela PTAX e mantidas as demais premissas, o lance mínimo do BESS dimensionado para o contrato seria de R$ 501 mil a R$ 570 mil/(MW·ano) com os custos mundiais, de R$ 806 mil com o europeu e de R$ 998 mil com o norte-americano, contra R$ 1,160 milhão com o da EPE. A diferença decorre, em parte, dos tributos sobre a importação de equipamentos e da escala ainda pequena do mercado brasileiro, que o valor da EPE pode refletir; mas sua magnitude indica que o custo de referência é a premissa de maior efeito sobre o lance, superior à da duração de referência, e que, com custos próximos dos internacionais, o lance ficaria abaixo do preço obtido pelas termelétricas existentes no LRCAP de 2026. O compartilhamento da conexão é uma vantagem do arranjo híbrido: sem ele, a bateria pagaria a TUST sobre toda a sua potência, e o lance seria R$ 113 mil/(MW·ano) maior. Duas premissas de natureza tributária e contratual também pesam: o regime não cumulativo do PIS/Cofins, sem créditos, eleva o lance em 6%, e a falta de reajuste da receita fixa pelo IPCA, com inflação de 4% a.a., em 25%, pois a receita perderia valor real ao longo dos 15 anos; esta última é a premissa de maior efeito e deve ser confirmada no edital.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5% com o de 10 t. A magnitude dessa redução depende da multa contratual, que faz cada kg não entregue custar R$ 70 ao empreendedor (Seção 3.4.5). À taxa central e com a receita reajustada pelo IPCA, o lance mínimo situa-se, assim, entre R$ 1,11 milhão e R$ 1,47 milhão/(MW·ano), e sua incerteza decorre principalmente da duração de referência do custo do BESS, da regra de cobrança do uso da rede, do investimento, do regime tributário, do O&amp;M e do prazo de implantação; sem reajuste, chegaria a R$ 1,52 milhão. Com a importação de energia, o lance não depende do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na faixa avaliada, pois o proponente oferta toda a potência e a rede supre o eletrolisador com ou sem o BESS.</w:t>
      </w:r>
    </w:p>
    <w:bookmarkEnd w:id="21"/>
    <w:bookmarkStart w:id="22" w:name="Xecea054f1f21e6d64ad55e12ed02f53637149e7"/>
    <w:p>
      <w:pPr>
        <w:pStyle w:val="Heading3"/>
      </w:pPr>
      <w:r>
        <w:t xml:space="preserve">4.2.4 Dimensionamento do BESS e bateria isolada</w:t>
      </w:r>
    </w:p>
    <w:p>
      <w:pPr>
        <w:pStyle w:val="FirstParagraph"/>
      </w:pPr>
      <w:r>
        <w:t xml:space="preserve">Os resultados anteriores consideram o BESS de 60 MW e 300 MWh do caso de referência. Para uma bateria construída para o leilão, porém, o tamanho pode ser escolhido junto com o lance (Seção 3.8.3). A Tabela 4.5 compara o lance mínimo do BESS de referência com o de baterias dimensionadas para o contrato, com potência igual à contratada e energia de 4,8 MWh por MW, no arranjo híbrido e numa bateria isolada.</w:t>
      </w:r>
    </w:p>
    <w:p>
      <w:pPr>
        <w:pStyle w:val="Legenda"/>
      </w:pPr>
      <w:r>
        <w:t xml:space="preserve">Tabela 4.5 – Lance mínimo por arranjo e dimensionamento do BESS, em R$ mil/(MW·ano), com investimento de referência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Arranjo</w:t>
            </w:r>
          </w:p>
        </w:tc>
        <w:tc>
          <w:tcPr/>
          <w:p>
            <w:pPr>
              <w:pStyle w:val="Compact"/>
            </w:pPr>
            <w:r>
              <w:t xml:space="preserve">Potência (MW)</w:t>
            </w:r>
          </w:p>
        </w:tc>
        <w:tc>
          <w:tcPr/>
          <w:p>
            <w:pPr>
              <w:pStyle w:val="Compact"/>
            </w:pPr>
            <w:r>
              <w:t xml:space="preserve">Energia (MWh)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BESS de referência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  <w:tc>
          <w:tcPr/>
          <w:p>
            <w:pPr>
              <w:pStyle w:val="Compact"/>
            </w:pPr>
            <w:r>
              <w:t xml:space="preserve">1.182</w:t>
            </w:r>
          </w:p>
        </w:tc>
        <w:tc>
          <w:tcPr/>
          <w:p>
            <w:pPr>
              <w:pStyle w:val="Compact"/>
            </w:pPr>
            <w:r>
              <w:t xml:space="preserve">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30 a 50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1.160</w:t>
            </w:r>
          </w:p>
        </w:tc>
        <w:tc>
          <w:tcPr/>
          <w:p>
            <w:pPr>
              <w:pStyle w:val="Compact"/>
            </w:pPr>
            <w:r>
              <w:t xml:space="preserve">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Bateria isolada, dimensionada para o contrato</w:t>
            </w:r>
          </w:p>
        </w:tc>
        <w:tc>
          <w:tcPr/>
          <w:p>
            <w:pPr>
              <w:pStyle w:val="Compact"/>
            </w:pPr>
            <w:r>
              <w:t xml:space="preserve">30 a 60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1.296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cálculo da Seção 3.8.3 foi verificado com o modelo de operação: com o BESS dimensionado para o contrato de 30 e de 50 MW, o lucro operacional esperado, somada a degradação do módulo LRCAP, foi igual ao lucro sem BESS, como previsto.</w:t>
      </w:r>
    </w:p>
    <w:p>
      <w:pPr>
        <w:pStyle w:val="BodyText"/>
      </w:pPr>
      <w:r>
        <w:t xml:space="preserve">Três resultados se destacam. Primeiro, a bateria do leilão deve ser dimensionada para o contrato, pois o módulo mercantil não se paga no lance. No BESS de referência, ofertar 57,5 MW e manter 2,5 MW e 24 MWh para uso mercantil acrescenta R$ 2,0 milhões por ano ao lucro, mas essa capacidade custa R$ 4,9 milhões por ano entre capital, O&amp;M e uso da rede; já os 12 MWh além do necessário para 60 MW custam R$ 32 mil/(MW·ano) no lance. Segundo, com o BESS dimensionado para o contrato, o lance por MW não depende da potência até a potência da usina FV, porque a bateria cabe no montante de uso de injeção já contratado pela usina; acima de 50 MW, cada MW adicional acrescenta TUST, e o lance cresce até R$ 1,182 milhão/(MW·ano) com 60 MW. A oferta deixa de ser</w:t>
      </w:r>
      <w:r>
        <w:t xml:space="preserve"> </w:t>
      </w:r>
      <w:r>
        <w:t xml:space="preserve">“tudo ou nada”</w:t>
      </w:r>
      <w:r>
        <w:t xml:space="preserve">: o proponente ofertaria qualquer quantidade entre 30 e 50 MW a partir de R$ 1,160 milhão/(MW·ano) e quantidades maiores a preços crescentes.</w:t>
      </w:r>
    </w:p>
    <w:p>
      <w:pPr>
        <w:pStyle w:val="BodyText"/>
      </w:pPr>
      <w:r>
        <w:t xml:space="preserve">Terceiro, a bateria isolada, que paga a TUST sobre toda a sua potência, tem lance de R$ 1,296 milhão/(MW·ano), R$ 136 mil acima do híbrido: a TUST de R$ 131 mil/(MW·ano), acrescida do PIS/Cofins. Como, no lance, o uso mercantil é nulo nos dois arranjos, essa diferença decorre inteiramente do compartilhamento da conexão: no lance mínimo, o papel da usina FV com produção de hidrogênio é dividir o ponto de conexão, e não fornecer receitas à bateria. O compartilhamento da infraestrutura de conexão, que também reduziria o investimento do arranjo híbrido, não foi quantificado.</w:t>
      </w:r>
    </w:p>
    <w:p>
      <w:pPr>
        <w:pStyle w:val="BodyText"/>
      </w:pPr>
      <w:r>
        <w:t xml:space="preserve">Essa vantagem, porém, pressupõe que a usina FV com o eletrolisador seja construída. Sozinha, sem o BESS, essa usina exige R$ 412 milhões de investimento, com o tanque de hidrogênio, mais R$ 24 milhões de juros durante a construção, e gera fluxo anual de R$ 18,6 milhões, após O&amp;M, uso da rede e PIS/Cofins, o que resulta em VPL de −R$ 311 milhões à taxa de 12,1% (−R$ 269 milhões a 8%). Com o hidrogênio a R$ 35/kg, portanto, a usina que hospeda a bateria não se justificaria por si. O lance de R$ 1,160 milhão/(MW·ano) vale para um proponente cuja usina FV exista ou se justifique por outras razões — por exemplo, uma usina já em operação ou com a energia vendida em contrato —; para um proponente que constrói só a bateria, a referência é o lance da bateria isolada, de R$ 1,296 milhão/(MW·ano).</w:t>
      </w:r>
    </w:p>
    <w:bookmarkEnd w:id="22"/>
    <w:bookmarkEnd w:id="23"/>
    <w:bookmarkStart w:id="56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p>
      <w:pPr>
        <w:pStyle w:val="BodyText"/>
      </w:pPr>
      <w:r>
        <w:t xml:space="preserve">A receita de referência, de R$ 600 mil/(MW·ano), é inferior ao lance mínimo de R$ 1,214 milhão calculado na Seção 4.2: com ela, um proponente não construiria o BESS. Os resultados desta seção valem, portanto, para quem já dispõe da bateria, e a curva de oferta da Subseção 4.3.3 fornece a decisão para qualquer receita. Para um BESS construído com receita igual ao lance mínimo, o proponente oferta toda a potência, e a operação é a da Tabela 4.6.</w:t>
      </w:r>
    </w:p>
    <w:p>
      <w:pPr>
        <w:pStyle w:val="Legenda"/>
      </w:pPr>
      <w:r>
        <w:t xml:space="preserve">Tabela 4.6 – Operação média nos cenários com a receita de referência e com a receita igual ao lance mínimo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R$ 600 mil/(MW·ano): 55 MW</w:t>
            </w:r>
          </w:p>
        </w:tc>
        <w:tc>
          <w:tcPr/>
          <w:p>
            <w:pPr>
              <w:pStyle w:val="Compact"/>
            </w:pPr>
            <w:r>
              <w:t xml:space="preserve">R$ 1,214 mi/(MW·ano): 60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(R$ mi/ano)</w:t>
            </w:r>
          </w:p>
        </w:tc>
        <w:tc>
          <w:tcPr/>
          <w:p>
            <w:pPr>
              <w:pStyle w:val="Compact"/>
            </w:pPr>
            <w:r>
              <w:t xml:space="preserve">33,0</w:t>
            </w:r>
          </w:p>
        </w:tc>
        <w:tc>
          <w:tcPr/>
          <w:p>
            <w:pPr>
              <w:pStyle w:val="Compact"/>
            </w:pPr>
            <w:r>
              <w:t xml:space="preserve">72,8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operacional sem a receita fixa (R$ mi/ano)</w:t>
            </w:r>
          </w:p>
        </w:tc>
        <w:tc>
          <w:tcPr/>
          <w:p>
            <w:pPr>
              <w:pStyle w:val="Compact"/>
            </w:pPr>
            <w:r>
              <w:t xml:space="preserve">35,1</w:t>
            </w:r>
          </w:p>
        </w:tc>
        <w:tc>
          <w:tcPr/>
          <w:p>
            <w:pPr>
              <w:pStyle w:val="Compact"/>
            </w:pPr>
            <w:r>
              <w:t xml:space="preserve">31,0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total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103,8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30,7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Horas com o eletrolisador ligado</w:t>
            </w:r>
          </w:p>
        </w:tc>
        <w:tc>
          <w:tcPr/>
          <w:p>
            <w:pPr>
              <w:pStyle w:val="Compact"/>
            </w:pPr>
            <w:r>
              <w:t xml:space="preserve">7.459</w:t>
            </w:r>
          </w:p>
        </w:tc>
        <w:tc>
          <w:tcPr/>
          <w:p>
            <w:pPr>
              <w:pStyle w:val="Compact"/>
            </w:pPr>
            <w:r>
              <w:t xml:space="preserve">3.458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Partidas do eletrolisador por ano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358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Descarga do módulo mercantil (GWh/ano)</w:t>
            </w:r>
          </w:p>
        </w:tc>
        <w:tc>
          <w:tcPr/>
          <w:p>
            <w:pPr>
              <w:pStyle w:val="Compact"/>
            </w:pPr>
            <w:r>
              <w:t xml:space="preserve">8,1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Fonte"/>
      </w:pPr>
      <w:r>
        <w:t xml:space="preserve">Fonte: elaborado pelo autor. Média dos cinco cenários; lucros sem O&amp;M fixo, uso da rede e tributos.</w:t>
      </w:r>
    </w:p>
    <w:p>
      <w:pPr>
        <w:pStyle w:val="BodyText"/>
      </w:pPr>
      <w:r>
        <w:t xml:space="preserve">Com a oferta de toda a potência, o módulo mercantil desaparece e, com ele, o suprimento noturno do eletrolisador: a produção de hidrogênio cai 15%, o eletrolisador passa a operar só nas horas de sol, com metade das horas de operação e uma partida por dia, e a energia que antes ia para o eletrolisador à noite passa a ser exportada ao MCP. O lucro operacional cai R$ 4,1 milhões por ano, mais do que compensado pelos R$ 39,8 milhões de receita fixa adicional. As conclusões sobre a operação desta seção referem-se, assim, ao BESS disponível; para o BESS a construir, a operação de referência é a de 60 MW.</w:t>
      </w:r>
    </w:p>
    <w:bookmarkStart w:id="27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4.4(a)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4.4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as/estocastico_unife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4.4,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4.7.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4.7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 foi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;</m:t>
        </m:r>
        <m:r>
          <m:t> 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 e tolerância de 0,01%,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inferior a 0,01% em todos os casos. 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o CVaR coincide com o lucro do pior ano, 2022. À medida que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aumenta, a potência ótima recua de 54,4 MW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 para 53,4 MW (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 1), 52,7 MW (</w:t>
      </w:r>
      <m:oMath>
        <m:r>
          <m:t>β</m:t>
        </m:r>
        <m:r>
          <m:rPr>
            <m:sty m:val="p"/>
          </m:rPr>
          <m:t>=</m:t>
        </m:r>
        <m:r>
          <m:t>2</m:t>
        </m:r>
      </m:oMath>
      <w:r>
        <w:t xml:space="preserve">) e 52,1 MW (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). Entre os extremos, o lucro esperado cai R$ 81 mil por ano (0,12%) e o CVaR sobe R$ 85 mil (0,13%). Há, portanto, troca entre risco e retorno, mas ela é pequena. O CVaR desloca a decisão em direção ao ótimo do pior ano, de 51,5 MW (Tabela 4.8):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, o lucro de 2022 fica a apenas R$ 1,4 mil do máximo possível naquele cenário. A troca é pequena porque a dispersão entre os cenários pouco depende da decisão de contratação, como se observa na Figura 4.4(b): as barras de cada decisão se deslocam praticamente em paralelo entre os anos. Com a tolerância de 0,1% usada inicialmente, a fronteira parecia degenerar em um único ponto (53,4 MW para todos os pesos), pois as diferenças entre os seus pontos, de até R$ 85 mil por ano, são da mesma ordem que essa tolerância, cerca de R$ 68 mil.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27"/>
    <w:bookmarkStart w:id="28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4.8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4.8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p>
      <w:pPr>
        <w:pStyle w:val="BodyText"/>
      </w:pPr>
      <w:r>
        <w:rPr>
          <w:b/>
          <w:bCs/>
        </w:rPr>
        <w:t xml:space="preserve">Avaliação fora da amostra.</w:t>
      </w:r>
      <w:r>
        <w:t xml:space="preserve"> </w:t>
      </w:r>
      <w:r>
        <w:t xml:space="preserve">Como os cinco anos são uma amostra pequena e o VSS e o EVPI são medidos dentro dela, a decisão foi avaliada também fora da amostra: para cada ano, a potência foi escolhida, na grade de 2,5 MW da curva de oferta, com os outros quatro anos, e avaliada no ano deixado de fora. Com a receita de referência, a decisão só muda quando 2021 é retirado da amostra, caindo de 55 para 52,5 MW; nesse caso, contratar 52,5 MW em 2021 custaria R$ 572 mil a menos do que a decisão com os cinco anos, pois, na crise hídrica, o ótimo daquele ano é contratar toda a potência. Nos demais anos, a decisão com quatro anos coincide com a de cinco. A perda média fora da amostra, em relação à decisão ótima de cada ano, é de R$ 259 mil por ano (0,38% do lucro esperado), da mesma ordem do EVPI. Com receitas de R$ 330 mil, R$ 830 mil e R$ 1,0 milhão/(MW·ano), a perda média fica entre R$ 36 mil e R$ 342 mil por ano, e a decisão varia no máximo um passo da grade. A decisão é, portanto, robusta à composição da amostra; o ano que mais a influencia é 2021, o de preços mais altos.</w:t>
      </w:r>
    </w:p>
    <w:p>
      <w:pPr>
        <w:pStyle w:val="BodyText"/>
      </w:pPr>
      <w:r>
        <w:rPr>
          <w:b/>
          <w:bCs/>
        </w:rPr>
        <w:t xml:space="preserve">Previsão perfeita dentro do ano.</w:t>
      </w:r>
      <w:r>
        <w:t xml:space="preserve"> </w:t>
      </w:r>
      <w:r>
        <w:t xml:space="preserve">O VSS e o EVPI tratam apenas da variação entre anos; dentro de cada cenário, a operação é otimizada com conhecimento antecipado das séries (Seção 3.10, hipótese a). Para medir esse viés, o ano de 2025 foi operado também em horizonte rolante: a cada hora, o MILP da Seção 3.4 é resolvido numa janela de 48 h, com o PLD conhecido (publicado na véspera), o perfil de despacho do ONS, a geração FV da hora medida e, nas horas seguintes, prevista por persistência (a da mesma hora do dia anterior), a partir dos estados reais do módulo mercantil, do tanque e do eletrolisador; apenas a decisão da primeira hora é executada, e o lucro é apurado com os dados reais. Com a geração FV conhecida, a janela de 48 h reproduz o lucro de previsão perfeita (diferença de +0,02%, dentro da precisão da decomposição), de modo que o viés decorre apenas do erro de previsão. Com a previsão por persistência, o lucro operacional cai R$ 13 mil por ano (−0,03%) com 30 MW contratados, R$ 188 mil (−0,54%) com 55 MW e nada com 60 MW. O viés é nulo com 60 MW porque, sem módulo mercantil, não há energia a deslocar no tempo e a operação independe da previsão; é pequeno com 30 MW porque o módulo mercantil, de 156 MWh, tem folga para absorver o erro; e é maior com 55 MW, quando o módulo, de 36 MWh, é escasso e cada erro de previsão desloca energia que o eletrolisador usaria à noite. Com previsão imperfeita, o eletrolisador parte 163 vezes no ano com 55 MW, contra 75 na previsão perfeita, menos de uma vez a cada dois dias.</w:t>
      </w:r>
    </w:p>
    <w:p>
      <w:pPr>
        <w:pStyle w:val="BodyText"/>
      </w:pPr>
      <w:r>
        <w:t xml:space="preserve">Três consequências decorrem desse resultado. Primeiro, o viés é muito menor do que o de 18% obtido por García-Miguel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para uma usina eólica com eletrolisador e bateria no mercado do dia seguinte dinamarquês, em que o erro de previsão do vento é maior e os desvios são penalizados; no MCP, o PLD é conhecido na véspera e não há penalidade por desvio. Segundo, ao superestimar o lucro com 55 MW e não com 60 MW, a previsão perfeita superestima o custo de oportunidade dos últimos 5 MW em cerca de R$ 38 mil/(MW·ano), cerca de 5% do valor da Figura 4.5(b), sem alterar a potência ótima para a receita de referência. Terceiro, o lance mínimo de um BESS a construir não é afetado, pois, no lance, a potência ofertada é a do BESS inteiro, em que o viés é nulo. A persistência é a previsão mais simples possível; com uma previsão melhor, o viés seria ainda menor.</w:t>
      </w:r>
    </w:p>
    <w:bookmarkEnd w:id="28"/>
    <w:bookmarkStart w:id="32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4.5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4.5(b)). A receita mínima de entrada é de R$ 76 mil/(MW·ano), dos quais R$ 73 mil correspondem à degradação do módulo LRCAP (R$ 50/MWh sobre cerca de 1.461 MWh/MW injetados por ano) e apenas R$ 3 mil à perda de lucro no MCP e no hidrogênio, e a receita necessária para ofertar toda a potência do BESS é de R$ 895 mil/(MW·ano).</w:t>
      </w:r>
    </w:p>
    <w:p>
      <w:pPr>
        <w:pStyle w:val="Legenda"/>
      </w:pPr>
      <w:r>
        <w:t xml:space="preserve">Figura 4.5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as/curva_ofert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4.5(c)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nos cinco casos da Figura 4.5 (R$ 76 mil a R$ 97 mil/(MW·ano)) e não supera R$ 300 mil/(MW·ano) em nenhum dos casos avaliados,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2"/>
    <w:bookmarkStart w:id="33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4.9 resume, para a receita fixa de referência, a potência ótima, o lucro e a operação média de cada caso.</w:t>
      </w:r>
    </w:p>
    <w:p>
      <w:pPr>
        <w:pStyle w:val="Legenda"/>
      </w:pPr>
      <w:r>
        <w:t xml:space="preserve">Tabela 4.9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 (Subseção 4.3.5).</w:t>
      </w:r>
    </w:p>
    <w:p>
      <w:pPr>
        <w:pStyle w:val="BodyText"/>
      </w:pPr>
      <w:r>
        <w:rPr>
          <w:b/>
          <w:bCs/>
        </w:rPr>
        <w:t xml:space="preserve">Custo adicional da energia importada.</w:t>
      </w:r>
      <w:r>
        <w:t xml:space="preserve"> </w:t>
      </w:r>
      <w:r>
        <w:t xml:space="preserve">O custo adicional de R$ 250/MWh é uma hipótese agregada de uso da rede, encargos e tributos (Seção 3.8.4). Com R$ 100/MWh, o lucro esperado na receita de referência sobe para R$ 102,6 milhões por ano, 51% acima do caso sem importação, com 95 GWh importados e fator de capacidade de 0,93; com R$ 400/MWh, cai para R$ 76,6 milhões, ainda 12% acima, com 68 GWh importados, fator de capacidade de 0,79 e ótimo em 57,5 MW. A conclusão de que a importação eleva o lucro e reduz o papel do BESS no suprimento do eletrolisador é, portanto, robusta nessa faixa, mas a magnitude do ganho depende fortemente do custo da energia importada, que deve ser apurado para o ponto de conexão e o enquadramento tarifário do empreendimento. Só com R$ 100/MWh, investimento baixo e taxa de 8% o empreendimento teria VPL positivo (Tabela 4.2).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3"/>
    <w:bookmarkStart w:id="37" w:name="limite-de-emissões-do-hidrogênio"/>
    <w:p>
      <w:pPr>
        <w:pStyle w:val="Heading3"/>
      </w:pPr>
      <w:r>
        <w:t xml:space="preserve">4.3.5 Limite de emissões do hidrogênio</w:t>
      </w:r>
    </w:p>
    <w:p>
      <w:pPr>
        <w:pStyle w:val="FirstParagraph"/>
      </w:pPr>
      <w:r>
        <w:t xml:space="preserve">Os casos com importação supõem que o eletrolisador possa ser suprido pela rede sem restrição. Esta subseção avalia o critério intermediário da Seção 3.4.5, em que a energia da rede supre o eletrolisador desde que a intensidade de emissões semanal do hidrogênio não exceda o limite</w:t>
      </w:r>
      <w:r>
        <w:t xml:space="preserve"> </w:t>
      </w:r>
      <m:oMath>
        <m:r>
          <m:t>L</m:t>
        </m:r>
      </m:oMath>
      <w:r>
        <w:t xml:space="preserve">: 7 kgCO₂/kgH₂, valor inicial do marco legal (BRASIL, 2024), ou 3,4 kgCO₂/kgH₂, próximo do limiar de emissões europeu, sem as exigências de adicionalidade e de correlação temporal e geográfica do Regulamento Delegado (UE) 2023/1184 (Seção 3.4.5). Para cada limite, consideram-se o fator de emissão horário médio do SIN e o fator marginal de uma termelétrica a gás natural (Seção 3.5). A Figura 4.6 e a Tabela 4.10 comparam esses casos com o caso de referência, em que a importação é vedada, e com o de importação livre.</w:t>
      </w:r>
    </w:p>
    <w:p>
      <w:pPr>
        <w:pStyle w:val="Legenda"/>
      </w:pPr>
      <w:r>
        <w:t xml:space="preserve">Figura 4.6 – Curva de oferta no LRCAP com limite de emissões do hidrogênio: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as/curva_oferta_emisso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4.10 – Potência ótima, lucro e operação média nos casos de limite de emissões do hidrogênio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029"/>
        <w:gridCol w:w="1029"/>
        <w:gridCol w:w="1029"/>
        <w:gridCol w:w="1029"/>
        <w:gridCol w:w="1029"/>
        <w:gridCol w:w="10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médio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médio</w:t>
            </w:r>
          </w:p>
        </w:tc>
        <w:tc>
          <w:tcPr/>
          <w:p>
            <w:pPr>
              <w:pStyle w:val="Compact"/>
            </w:pPr>
            <w:r>
              <w:t xml:space="preserve">Importação 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73,8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43,8</w:t>
            </w:r>
          </w:p>
        </w:tc>
        <w:tc>
          <w:tcPr/>
          <w:p>
            <w:pPr>
              <w:pStyle w:val="Compact"/>
            </w:pPr>
            <w:r>
              <w:t xml:space="preserve">54,8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3,3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33,9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24,2</w:t>
            </w:r>
          </w:p>
        </w:tc>
        <w:tc>
          <w:tcPr/>
          <w:p>
            <w:pPr>
              <w:pStyle w:val="Compact"/>
            </w:pPr>
            <w:r>
              <w:t xml:space="preserve">90,2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da rede na energia do eletrolisador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1.567</w:t>
            </w:r>
          </w:p>
        </w:tc>
        <w:tc>
          <w:tcPr/>
          <w:p>
            <w:pPr>
              <w:pStyle w:val="Compact"/>
            </w:pPr>
            <w:r>
              <w:t xml:space="preserve">2.524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0,45</w:t>
            </w:r>
          </w:p>
        </w:tc>
        <w:tc>
          <w:tcPr/>
          <w:p>
            <w:pPr>
              <w:pStyle w:val="Compact"/>
            </w:pPr>
            <w:r>
              <w:t xml:space="preserve">0,56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Intensidade de emissões (kgCO₂/kgH₂)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3,38</w:t>
            </w:r>
          </w:p>
        </w:tc>
        <w:tc>
          <w:tcPr/>
          <w:p>
            <w:pPr>
              <w:pStyle w:val="Compact"/>
            </w:pPr>
            <w:r>
              <w:t xml:space="preserve">6,93</w:t>
            </w:r>
          </w:p>
        </w:tc>
        <w:tc>
          <w:tcPr/>
          <w:p>
            <w:pPr>
              <w:pStyle w:val="Compact"/>
            </w:pPr>
            <w:r>
              <w:t xml:space="preserve">1,40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914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  <w:tc>
          <w:tcPr/>
          <w:p>
            <w:pPr>
              <w:pStyle w:val="Compact"/>
            </w:pPr>
            <w:r>
              <w:t xml:space="preserve">496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</w:tr>
    </w:tbl>
    <w:p>
      <w:pPr>
        <w:pStyle w:val="Fonte"/>
      </w:pPr>
      <w:r>
        <w:t xml:space="preserve">Fonte: elaborado pelo autor. Referência: importação vedada. Fator médio: série horária do SIN estimada com dados do ONS (2021 a 2025); fator marginal: 449 kgCO₂/MWh. Na importação livre, a intensidade não é apurada.</w:t>
      </w:r>
    </w:p>
    <w:p>
      <w:pPr>
        <w:pStyle w:val="BodyText"/>
      </w:pPr>
      <w:r>
        <w:rPr>
          <w:b/>
          <w:bCs/>
        </w:rPr>
        <w:t xml:space="preserve">Fator médio.</w:t>
      </w:r>
      <w:r>
        <w:t xml:space="preserve"> </w:t>
      </w:r>
      <w:r>
        <w:t xml:space="preserve">Com o fator de emissão médio do SIN, nenhum dos limites é restritivo na maior parte do tempo. O eletrolisador importa cerca de 90 GWh por ano, 65% de sua energia, e a intensidade de emissões do hidrogênio fica em 1,4 a 1,5 kgCO₂/kgH₂, abaixo até do limite de 3,4 kgCO₂/kgH₂. Apenas em 2021, ano de crise hídrica, em que o fator médio do SIN foi de 94 kgCO₂/MWh, o limite de 3,4 kgCO₂/kgH₂ chega a restringir a importação, o que reduz o lucro esperado em R$ 0,25 milhão por ano em relação ao limite de 7 kgCO₂/kgH₂. O resultado é praticamente igual ao da importação livre: com o fator médio, o critério de intensidade do marco legal não restringe o suprimento pela rede, e a hipótese de suprimento exclusivamente fotovoltaico do caso de referência é muito mais restritiva que a lei.</w:t>
      </w:r>
    </w:p>
    <w:p>
      <w:pPr>
        <w:pStyle w:val="BodyText"/>
      </w:pPr>
      <w:r>
        <w:rPr>
          <w:b/>
          <w:bCs/>
        </w:rPr>
        <w:t xml:space="preserve">Fator marginal.</w:t>
      </w:r>
      <w:r>
        <w:t xml:space="preserve"> </w:t>
      </w:r>
      <w:r>
        <w:t xml:space="preserve">Com o fator marginal, de 449 kgCO₂/MWh, os limites são restritivos, e a intensidade do hidrogênio atinge o teto (6,93 e 3,38 kgCO₂/kgH₂). A rede supre 28% da energia do eletrolisador com o limite de 7 kgCO₂/kgH₂ e 14% com o de 3,4, frações próximas da razão entre o fator equivalente ao limite e o fator marginal (127/449 e 62/449). Em relação ao caso de referência, a produção de hidrogênio aumenta 52% e 22%, e o lucro esperado, R$ 5,7 milhões e R$ 2,3 milhões por ano, respectivamente.</w:t>
      </w:r>
    </w:p>
    <w:p>
      <w:pPr>
        <w:pStyle w:val="BodyText"/>
      </w:pPr>
      <w:r>
        <w:rPr>
          <w:b/>
          <w:bCs/>
        </w:rPr>
        <w:t xml:space="preserve">Efeito sobre o BESS.</w:t>
      </w:r>
      <w:r>
        <w:t xml:space="preserve"> </w:t>
      </w:r>
      <w:r>
        <w:t xml:space="preserve">O limite de emissões altera o papel do módulo mercantil em sentidos opostos conforme o fator de emissão. Com o fator médio, como na importação livre, a rede substitui o BESS no suprimento noturno do eletrolisador, e o custo do último MW cai para R$ 474 mil a R$ 496 mil/(MW·ano), de modo que o ótimo passa a ser contratar toda a potência. Com o fator marginal, ao contrário, a energia FV e a energia da rede tornam-se complementares: cada MWh de origem FV consumido pelo eletrolisador, diretamente ou após armazenamento, abre espaço na Equação (3.21) para a importação de uma fração de MWh da rede, e o módulo mercantil, que desloca a energia FV para a noite, passa a valer mais fora do leilão. Com o limite de 7 kgCO₂/kgH₂, o custo do último MW sobe de R$ 895 mil para R$ 1,007 milhão/(MW·ano), e a potência ótima para a receita de referência cai de 55 para 50 MW.</w:t>
      </w:r>
    </w:p>
    <w:p>
      <w:pPr>
        <w:pStyle w:val="BodyText"/>
      </w:pPr>
      <w:r>
        <w:rPr>
          <w:b/>
          <w:bCs/>
        </w:rPr>
        <w:t xml:space="preserve">Viabilidade e lance mínimo.</w:t>
      </w:r>
      <w:r>
        <w:t xml:space="preserve"> </w:t>
      </w:r>
      <w:r>
        <w:t xml:space="preserve">O limite de emissões não altera o lance mínimo do BESS a construir, que permanece em R$ 1,214 milhão/(MW·ano) com o BESS de referência e em R$ 1,160 milhão com o BESS dimensionado para o contrato: no primeiro, a oferta de toda a potência elimina o módulo mercantil, e, no segundo, o BESS não altera a operação do lado mercantil (Subseção 4.2.4). O critério altera, porém, a viabilidade do empreendimento como um todo (Tabela 4.2): à taxa de 12,1%, o VPL passa de −R$ 546 milhões no caso de referência para −R$ 531 milhões com o limite de 7 kgCO₂/kgH₂ e fator marginal e para −R$ 450 milhões com fator médio, e o preço de equilíbrio do hidrogênio cai de R$ 116/kg para R$ 87/kg e R$ 62/kg, respectivamente. Com o fator marginal, o ganho de lucro é parcialmente consumido pela troca de pilhas, que o fator de capacidade mais alto do eletrolisador antecipa para o 12º ano.</w:t>
      </w:r>
    </w:p>
    <w:p>
      <w:pPr>
        <w:pStyle w:val="BodyText"/>
      </w:pPr>
      <w:r>
        <w:t xml:space="preserve">Esses resultados indicam que, sob o critério de intensidade de emissões, a informação decisiva não é o valor do limite, mas a metodologia de cálculo do fator de emissão da rede — médio ou marginal, anual, mensal ou horário —, que depende da regulamentação da certificação do hidrogênio.</w:t>
      </w:r>
    </w:p>
    <w:bookmarkEnd w:id="37"/>
    <w:bookmarkStart w:id="41" w:name="frequência-do-despacho-do-ons"/>
    <w:p>
      <w:pPr>
        <w:pStyle w:val="Heading3"/>
      </w:pPr>
      <w:r>
        <w:t xml:space="preserve">4.3.6 Frequência do despacho do ONS</w:t>
      </w:r>
    </w:p>
    <w:p>
      <w:pPr>
        <w:pStyle w:val="FirstParagraph"/>
      </w:pPr>
      <w:r>
        <w:t xml:space="preserve">A Figura 4.7 e a Tabela 4.11 apresentam a curva de oferta do caso de referência para 50, 150 e 365 despachos por ano.</w:t>
      </w:r>
    </w:p>
    <w:p>
      <w:pPr>
        <w:pStyle w:val="Legenda"/>
      </w:pPr>
      <w:r>
        <w:t xml:space="preserve">Figura 4.7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as/curva_oferta_ciclo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4.11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4.7(b)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(3.46).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41"/>
    <w:bookmarkStart w:id="48" w:name="custo-de-degradação-e-dimensionamento"/>
    <w:p>
      <w:pPr>
        <w:pStyle w:val="Heading3"/>
      </w:pPr>
      <w:r>
        <w:t xml:space="preserve">4.3.7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4.8 e a Tabela 4.12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4.8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as/curva_oferta_degradaca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4.12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4.8(b):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4.9 e a Tabela 4.13 comparam eletrolisadores de 10, 17,5 e 25 MW, mantida a usina FV de 50 MWp.</w:t>
      </w:r>
    </w:p>
    <w:p>
      <w:pPr>
        <w:pStyle w:val="Legenda"/>
      </w:pPr>
      <w:r>
        <w:t xml:space="preserve">Figura 4.9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as/curva_oferta_eletrolisado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4.13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R$ 1,179 milhão para R$ 1,159 milhão/(MW·ano) (Tabela 4.4). A potência ótima para a receita de referência permanece em 55 MW. O tanque maior, porém, não se paga: os 8 t adicionais custam R$ 43 milhões, ou R$ 6,8 milhões por ano à taxa de 12,1% com os juros durante a construção, contra o acréscimo de R$ 1,6 milhão no lucro, e o VPL do empreendimento piora de −R$ 564 milhões para −R$ 599 milhões (Tabela 4.2). A redução do lance com o tanque de 10 t só se aplica, assim, a um proponente que já disponha do tanque.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bookmarkEnd w:id="48"/>
    <w:bookmarkStart w:id="55" w:name="X5d7116e36aa75b714ebe85263b9b5917fb83cc3"/>
    <w:p>
      <w:pPr>
        <w:pStyle w:val="Heading3"/>
      </w:pPr>
      <w:r>
        <w:t xml:space="preserve">4.3.8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à taxa central de 12,1% a.a. em 15 anos resulta em R$ 738 mil a R$ 886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4.10.</w:t>
      </w:r>
    </w:p>
    <w:p>
      <w:pPr>
        <w:pStyle w:val="Legenda"/>
      </w:pPr>
      <w:r>
        <w:t xml:space="preserve">Figura 4.10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4.11).</w:t>
      </w:r>
    </w:p>
    <w:p>
      <w:pPr>
        <w:pStyle w:val="Legenda"/>
      </w:pPr>
      <w:r>
        <w:t xml:space="preserve">Figura 4.11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4.10 e 4.11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5"/>
    <w:bookmarkEnd w:id="56"/>
    <w:bookmarkStart w:id="57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bateria do leilão deve ser dimensionada para o contrato:</w:t>
      </w:r>
      <w:r>
        <w:t xml:space="preserve"> </w:t>
      </w:r>
      <w:r>
        <w:t xml:space="preserve">o módulo mercantil não se paga no lance, e, com a bateria dimensionada para o contrato, o proponente ofertaria qualquer potência entre 30 e 50 MW ao mesmo lance mínimo, que só cresce acima da potência da usina FV; com o BESS de referência, de 60 MW e 300 MWh, a oferta é do tipo</w:t>
      </w:r>
      <w:r>
        <w:t xml:space="preserve"> </w:t>
      </w:r>
      <w:r>
        <w:t xml:space="preserve">“tudo ou nada”</w:t>
      </w:r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R$ 1,16 milhão/(MW·ano) com a bateria dimensionada para o contrato</w:t>
      </w:r>
      <w:r>
        <w:t xml:space="preserve"> </w:t>
      </w:r>
      <w:r>
        <w:t xml:space="preserve">(R$ 1,21 milhão com o BESS de referência), com investimento de referência de R$ 5.500/kW para 4 h, taxa de 12,1% antes de impostos, um ano de implantação com juros durante a construção, PIS/Cofins de 3,65% e receita fixa reajustada pelo IPCA; varia de R$ 1,11 milhão a R$ 1,47 milhão/(MW·ano) com o BESS de referência, conforme a duração de referência do custo da bateria, a regra de cobrança do uso da rede, o investimento, o regime tributário, o O&amp;M, o prazo de implantação e a disponibilidade, e chegaria a R$ 1,52 milhão se a receita fixa não fosse reajustada; com custos de BESS próximos dos internacionais de 2025 (US$ 110 a 219/kWh, contra cerca de US$ 254/kWh implícitos no valor da EPE), cairia para R$ 0,50 milhão a R$ 1,00 milhão; corresponde ao custo anual equivalente do BESS por MW acrescido dos tributos sobre a receita (Equação (3.47)) e supera o preço obtido por termelétricas existentes no LRCAP de 2026 (R$ 831 mil); com a taxa após impostos, que ignora o imposto de renda, cairia para R$ 936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papel do arranjo híbrido no lance é o compartilhamento da conexão, condicionado à existência da usina:</w:t>
      </w:r>
      <w:r>
        <w:t xml:space="preserve"> </w:t>
      </w:r>
      <w:r>
        <w:t xml:space="preserve">uma bateria isolada teria lance de R$ 1,30 milhão/(MW·ano), R$ 136 mil acima do híbrido, mas a usina FV com o eletrolisador que hospeda a bateria tem, sozinha, VPL de −R$ 311 milhões; o lance do híbrido vale, portanto, para uma usina que exista ou se justifique por outras razões. As hipóteses sobre o hidrogênio alteram pouco o lance (redução de até 5%, no contrato firme de 3 t/dia com tanque de 10 t, efeito que depende da multa contratual adotada; o tanque maior, porém, custa mais do que acrescenta ao lucro); essas hipóteses determinam, porém, a viabilidade do empreendimento como um todo: com os parâmetros centrais, nenhum caso se paga, e o preço de equilíbrio do hidrogênio no caso de referência é de cerca de R$ 116/kg;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R$ 70,1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hidrogênio, resultado robusto ao custo adicional da energia importada entre R$ 100 e R$ 400/MWh (ganho de 51% a 12%). Com o limite de intensidade de emissões do marco legal (7 kgCO₂/kgH₂), o resultado depende do fator de emissão da rede: com o fator médio do SIN, o limite não restringe a importação, e o resultado é o da importação livre; com o fator marginal, a rede supre no máximo 28% da energia do eletrolisador, o BESS passa a valer mais fora do leilão e a potência ótima cai para 50 MW;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qualificação, incluída a metodologia do fator de emissão da rede — são as informações prioritárias para essa avaliação.</w:t>
      </w:r>
    </w:p>
    <w:bookmarkEnd w:id="57"/>
    <w:bookmarkStart w:id="58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58"/>
    <w:bookmarkEnd w:id="59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34" Target="media/rId34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52" Target="media/rId52.png" /><Relationship Type="http://schemas.openxmlformats.org/officeDocument/2006/relationships/image" Id="rId49" Target="media/rId4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2026-10-20T11:55:35Z</dcterms:created>
  <dcterms:modified xsi:type="dcterms:W3CDTF">2026-10-20T11:55:35Z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