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isto é, uma multa igual ao preço por kg não entregue. Esse valor não deve ser lido como ressarcimento do produto: se o comprador repuser o hidrogênio com outro fornecedor ao mesmo preço, seu prejuízo direto é nulo, pois ele deixa de pagar o empreendedor, e uma indenização desse tipo corresponderia apenas à diferença entre o preço de reposição e o do contrato. A multa adotada representa, antes, uma cláusula de firmeza, que remunera o custo da interrupção para um comprador que depende da entrega diária. Como o kg não entregue também deixa de ser vendido, seu custo efetivo para o empreendedor é a soma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, de R$ 70/kg, e cada MWh entregue ao eletrolisador para evitar o déficit passa a valer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R$ 1.245/MWh, o dobro do valor sem contrato. Os casos com contrato representam, portanto, um contrato praticamente firme, e o valor do BESS no seu cumprimento depende diretamente de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t xml:space="preserve">O modelo resultante, composto pela função objetivo da Equação (3.1) e pelas restrições das Equações (3.3) a (3.19),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No modelo de operação, o desgaste da bateria é representado por um custo por MWh descarregado,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</m:oMath>
      <w:r>
        <w:t xml:space="preserve">, que mede o custo marginal de usar uma bateria existente: cada ciclo adicional antecipa a perda de capacidade e a reposição dos módulos. O custo integral de reposição dividido pela energia descarregada ao longo da vida útil é um limite superior desse custo marginal.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esse limite fica entre R$ 120 e R$ 185 por MWh descarregado. Adota-se R$ 50/MWh no caso de referência, e o efeito de valores de R$ 100 e R$ 200/MWh é avaliado na Seção 3.8.4. Na decisão de construir o BESS (Seção 3.8.2), porém, o desgaste do uso contratado não é cobrado por MWh: o investimento é amortizado no prazo do contrato, sem valor residual, e o O&amp;M fixo inclui a reposição parcial de módulos (</w:t>
      </w:r>
      <w:r>
        <w:rPr>
          <w:i/>
          <w:iCs/>
        </w:rPr>
        <w:t xml:space="preserve">augmentation</w:t>
      </w:r>
      <w:r>
        <w:t xml:space="preserve">) que mantém a capacidade nominal durante a vida útil, com cerca de um ciclo por dia (NREL, 2024). Cobrar também o desgaste por MWh pagaria a bateria duas vezes.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a 10% ao ano em 15 anos, a R$ 657 mil a R$ 789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(3.23),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(3.21)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considera-se ainda um custo por partida do eletrolisador,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associado a uma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(3.27) a (3.29):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(3.25)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(3.34) e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(3.33),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(3.36)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deixa de obter — no MCP e na venda de hidrogênio —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leilão, isto é, o custo de oportunidade da contratação.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(3.38),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(3.39);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 e no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fixo,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p>
        <m:r>
          <m:rPr>
            <m:sty m:val="p"/>
          </m:rPr>
          <m:t>=</m:t>
        </m:r>
        <m:r>
          <m:t>12</m:t>
        </m:r>
        <m:r>
          <m:t> </m:t>
        </m:r>
        <m:r>
          <m:t>τ</m:t>
        </m:r>
        <m:r>
          <m:t> 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é o custo anual de uso da rede, com a tarifa de uso do sistema de transmissão na geração (TUST)</w:t>
      </w:r>
      <w:r>
        <w:t xml:space="preserve"> </w:t>
      </w:r>
      <m:oMath>
        <m:r>
          <m:t>τ</m:t>
        </m:r>
      </m:oMath>
      <w:r>
        <w:t xml:space="preserve">, em R$/kW·mês, aplicada às potências da usina FV e do BESS,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BESS: NREL (2024), incluída a reposição parcial de módulos que mantém a capacidade nominal em 15 anos, com cerca de um ciclo por dia e sem O&amp;M variável; FV e eletrolisador: 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12,1% (central) e 8,0%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 antes e após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da rede (TUST de geração)</w:t>
            </w:r>
          </w:p>
        </w:tc>
        <w:tc>
          <w:tcPr/>
          <w:p>
            <w:pPr>
              <w:pStyle w:val="Compact"/>
            </w:pPr>
            <w:r>
              <w:t xml:space="preserve">R$ 5,68; 10,93; 19,49/kW·mês</w:t>
            </w:r>
          </w:p>
        </w:tc>
        <w:tc>
          <w:tcPr/>
          <w:p>
            <w:pPr>
              <w:pStyle w:val="Compact"/>
            </w:pPr>
            <w:r>
              <w:t xml:space="preserve">Ciclo 2026/2027: média nacional e faixa entre regiões (MOVIMENTO ECONÔMICO, 2026); armazenamento despachado pelo ONS paga apenas na injeção (CENÁRIO ENERGIA,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do BESS</w:t>
            </w:r>
          </w:p>
        </w:tc>
        <w:tc>
          <w:tcPr/>
          <w:p>
            <w:pPr>
              <w:pStyle w:val="Compact"/>
            </w:pPr>
            <w:r>
              <w:t xml:space="preserve">0; 1%; 2% da potência nominal</w:t>
            </w:r>
          </w:p>
        </w:tc>
        <w:tc>
          <w:tcPr/>
          <w:p>
            <w:pPr>
              <w:pStyle w:val="Compact"/>
            </w:pPr>
            <w:r>
              <w:t xml:space="preserve">Valor indicativo de fornecedores, de 0,8% a 1,6% da potência do conversor (ENERGY CENTRAL,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100% (sensibilidade: 97%)</w:t>
            </w:r>
          </w:p>
        </w:tc>
        <w:tc>
          <w:tcPr/>
          <w:p>
            <w:pPr>
              <w:pStyle w:val="Compact"/>
            </w:pPr>
            <w:r>
              <w:t xml:space="preserve">Portaria MME nº 136/2026: disponibilidade integral, com isenção de penalidade para a indisponibilidade acordada com 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fluxo de caixa é calculado antes dos tributos sobre a renda, adota-se como taxa central o custo de capital antes de impostos (12,1%), que já incorpora o efeito desses tributos. A taxa após impostos (8,0%) é apresentada apenas como sensibilidade, pois, aplicada a um fluxo antes de impostos, ignora o imposto de renda e superestima o VPL.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+</m:t>
        </m:r>
        <m:r>
          <m:t>12</m:t>
        </m:r>
        <m:r>
          <m:t> </m:t>
        </m:r>
        <m:r>
          <m:t>τ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que inclui o capital, o O&amp;M fixo com a reposição parcial de módulos e o uso da rede. Nessa decisão, o lucro operacional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da Seção 3.8.1 é ajustado em dois pontos, conforme a Equação (3.42): devolve-se o custo de degradação do módulo LRCAP, cujo desgaste já está no investimento e no O&amp;M fixo (Seção 3.5), e desconta-se o consumo auxiliar do BESS que não é custeado pela CONCAP: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t>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max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 </m:t>
                        </m:r>
                        <m:r>
                          <m:t>a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ϕ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n</m:t>
                            </m:r>
                            <m:r>
                              <m:t>s</m:t>
                            </m:r>
                          </m:sup>
                        </m:sSup>
                      </m:e>
                    </m:d>
                    <m:r>
                      <m:t>P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LRCAP por MW contratado em um ano,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é o consumo auxiliar em fração da potência,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ano e</w:t>
      </w:r>
      <w:r>
        <w:t xml:space="preserve"> </w:t>
      </w:r>
      <m:oMath>
        <m:acc>
          <m:accPr>
            <m:chr m:val="‾"/>
          </m:accPr>
          <m:e>
            <m:r>
              <m:t>λ</m:t>
            </m:r>
          </m:e>
        </m:acc>
      </m:oMath>
      <w:r>
        <w:t xml:space="preserve"> </w:t>
      </w:r>
      <w:r>
        <w:t xml:space="preserve">é o PLD médio. O primeiro termo entre colchetes é o consumo do módulo mercantil, pago pelo empreendedor. O segundo é a parcela do consumo do módulo LRCAP que, medida no seu ponto de medição e contada como recarga, excede a folga</w:t>
      </w:r>
      <w:r>
        <w:t xml:space="preserve"> </w:t>
      </w:r>
      <m:oMath>
        <m:r>
          <m:t>ϕ</m:t>
        </m:r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entre a recarga custeada pela CONCAP,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e a recarga necessária,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isto é,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(BRASIL, 2026, art. 9º, §§ 7º e 8º). Com despacho diário,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≈</m:t>
        </m:r>
        <m:r>
          <m:t>1.461</m:t>
        </m:r>
      </m:oMath>
      <w:r>
        <w:t xml:space="preserve"> </w:t>
      </w:r>
      <w:r>
        <w:t xml:space="preserve">MWh/MW, a folga é de cerca de 100 MWh/MW por ano e cobre um consumo auxiliar de até 1,1% da potência. A receita fixa é multiplicada pela disponibilidade</w:t>
      </w:r>
      <w:r>
        <w:t xml:space="preserve"> </w:t>
      </w:r>
      <m:oMath>
        <m:r>
          <m:t>d</m:t>
        </m:r>
      </m:oMath>
      <w:r>
        <w:t xml:space="preserve">, e a potência ofertada passa a ser dada pela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d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d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com resolução de R$ 1 mil/(MW·ano) para as três faixas de investimento e as duas taxas de desconto do Quadro 3.3 e, no caso central, decomposto nas parcelas de capital, O&amp;M, uso da rede, consumo auxiliar e uso mercantil, cuja soma é o lance.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vale para o BESS existente. Para o BESS a construir, ela permite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. Como a Equação (3.42) devolve o termo de degradação,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κ</m:t>
            </m:r>
            <m:r>
              <m:rPr>
                <m:sty m:val="p"/>
              </m:rPr>
              <m:t>+</m:t>
            </m:r>
            <m:sSup>
              <m:e>
                <m:r>
                  <m:t>κ</m:t>
                </m:r>
              </m:e>
              <m:sup>
                <m:r>
                  <m:t>a</m:t>
                </m:r>
                <m:r>
                  <m:t>u</m:t>
                </m:r>
                <m:r>
                  <m:t>x</m:t>
                </m:r>
              </m:sup>
            </m:sSup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em que</w:t>
      </w:r>
      <w:r>
        <w:t xml:space="preserve"> </w:t>
      </w:r>
      <m:oMath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</m:oMath>
      <w:r>
        <w:t xml:space="preserve"> </w:t>
      </w:r>
      <w:r>
        <w:t xml:space="preserve">é o consumo auxiliar não custeado, por MW. A condição de indiferença</w:t>
      </w:r>
      <w:r>
        <w:t xml:space="preserve"> </w:t>
      </w:r>
      <m:oMath>
        <m:r>
          <m:t>R</m:t>
        </m:r>
        <m:r>
          <m:t> </m:t>
        </m:r>
        <m:r>
          <m:t>d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d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 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a</m:t>
                        </m:r>
                        <m:r>
                          <m:t>u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(3.45)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 — capital, O&amp;M com reposição de módulos e uso da rede —, acrescido da recarga e do consumo auxiliar não custeados pela CONCAP e dividido pela disponibilidade. Como o desgaste do despacho já está no O&amp;M, o lance não depende do custo de degradação por MWh e só depende da frequência do despacho por meio do consumo auxiliar, cuja folga diminui quando o módulo é despachado menos vezes. A aproximação desconsidera o valor residual do uso mercantil da bateria e é verificada no Capítulo 4.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vedação à importação de energia da rede,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. Essa configuração corresponde a um critério de qualificação do hidrogênio baseado na intensidade de emissões, e não na origem física da energia, e é avaliada como alternativa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horizonte, sem reajuste pelo Índice Nacional de Preços ao Consumidor Amplo (IPCA), sem o abatimento mensal por desempenho e sem as penalidades por indisponibilidade, cujos detalhes dependem do edital do leilão; o efeito de uma disponibilidade de 97% sobre o lance é avaliado como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existente é proporcional à energia descarregada, sem dependência da profundidade de descarga, e seu valor de referência (R$ 50/MWh) é inferior ao custo integral de reposição dos módulos, o que é tratado por análise de sensibilidade; na decisão de construir o BESS, o desgaste do uso contratado está no O&amp;M fixo, e o uso mercantil mantém o custo por MWh, hipótese conservadora, pois o O&amp;M de referência já cobre cerca de um ciclo por dia;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adotada, igual ao preço do hidrogênio, é um valor de referência ainda não calibrado com contratos reais. Somada à receita perdida, ela custa ao empreendedor R$ 70 por kg não entregue, o que torna o contrato praticamente firme e eleva o valor atribuído ao BESS no seu cumprimento (Seção 3.4.5);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antes dos tributos sobre a renda e descontado à taxa antes de impostos, sem financiamento, sem benefícios fiscais e sem valor residual; o O&amp;M fixo da FV e do eletrolisador é hipotético, a TUST é a média nacional, e não a do barramento de conexão, e o consumo auxiliar é um valor indicativo; o lucro operacional é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CENÁRIO ENERGIA.</w:t>
      </w:r>
      <w:r>
        <w:t xml:space="preserve"> </w:t>
      </w:r>
      <w:r>
        <w:rPr>
          <w:b/>
          <w:bCs/>
        </w:rPr>
        <w:t xml:space="preserve">ANEEL aprova marco de baterias com tarifação dupla para sistemas sem despacho do ONS</w:t>
      </w:r>
      <w:r>
        <w:t xml:space="preserve">. 2 jun. 2026. Disponível em: https://cenarioenergia.com.br/2026/06/02/aneel-aprova-marco-de-baterias-com-tarifacao-dupla-para-sistemas-sem-despacho-do-ons/. Acesso em: 13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ENERGY CENTRAL.</w:t>
      </w:r>
      <w:r>
        <w:t xml:space="preserve"> </w:t>
      </w:r>
      <w:r>
        <w:rPr>
          <w:b/>
          <w:bCs/>
        </w:rPr>
        <w:t xml:space="preserve">BESS 5 MWh aux consumption</w:t>
      </w:r>
      <w:r>
        <w:t xml:space="preserve">. 2025. Disponível em: https://www.energycentral.com/energy-biz/post/bess-5-mwh-aux-consumption-nB19OmDcUfffS2B. Acesso em: 13 out. 2026.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MOVIMENTO ECONÔMICO.</w:t>
      </w:r>
      <w:r>
        <w:t xml:space="preserve"> </w:t>
      </w:r>
      <w:r>
        <w:rPr>
          <w:b/>
          <w:bCs/>
        </w:rPr>
        <w:t xml:space="preserve">Aneel conclui tarifas de transmissão e NE sai favorecido no ciclo 2026/2027</w:t>
      </w:r>
      <w:r>
        <w:t xml:space="preserve">. 29 jun. 2026. Disponível em: https://movimentoeconomico.com.br/economia/energia/2026/06/29/aneel-conclui-tarifas-de-transmissao-e-ne-sai-favorecido-no-ciclo-2026-2027/. Acesso em: 13 out. 2026.</w:t>
      </w:r>
    </w:p>
    <w:p>
      <w:pPr>
        <w:pStyle w:val="Referencia"/>
      </w:pPr>
      <w:r>
        <w:t xml:space="preserve">NREL – NATIONAL RENEWABLE ENERGY LABORATORY.</w:t>
      </w:r>
      <w:r>
        <w:t xml:space="preserve"> </w:t>
      </w:r>
      <w:r>
        <w:rPr>
          <w:b/>
          <w:bCs/>
        </w:rPr>
        <w:t xml:space="preserve">2024 Annual Technology Baseline</w:t>
      </w:r>
      <w:r>
        <w:t xml:space="preserve">: utility-scale battery storage. Golden: NREL, 2024. Disponível em: https://atb.nrel.gov/electricity/2024/utility-scale_battery_storage. Acesso em: 13 out. 2026.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2026-10-13T01:06:56Z</dcterms:created>
  <dcterms:modified xsi:type="dcterms:W3CDTF">2026-10-13T01:06:56Z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