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resume a implementação computacional; e a Seção 3.9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custos de investimento não são incluídos, uma vez que as capacidades são fixas.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(3.5), com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σ</m:t>
            </m:r>
          </m:e>
        </m:acc>
        <m:r>
          <m:t>ρ</m:t>
        </m:r>
      </m:oMath>
      <w:r>
        <w:t xml:space="preserve"> </w:t>
      </w:r>
      <w:r>
        <w:t xml:space="preserve">(módulo inicialmente carregado):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valor que corresponde a ressarcir o comprador pelo produto que ele precisará adquirir de outro fornecedor.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t xml:space="preserve">O modelo resultante, composto pela função objetivo da Equação (3.1) e pelas restrições das Equações (3.3) a (3.19),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A receita fixa do LRCAP e o preço do hidrogênio não possuem, até o momento, referências de mercado consolidadas no Brasil e são, por isso, objeto de análise de sensibilidade. O mesmo se aplica aos termos do contrato de fornecimento de hidrogênio — volume diário e multa por déficit —, avaliados em cenários alternativos ao caso sem contrato.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bloco, o problema anual pode ser reescrito conforme a Equação (3.20):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(3.23),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considera-se ainda um custo por partida do eletrolisador,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associado a uma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(3.27) a (3.29):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(3.25)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(3.34) e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(3.33),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37" w:name="implementação-computacional"/>
    <w:p>
      <w:pPr>
        <w:pStyle w:val="Heading2"/>
      </w:pPr>
      <w:r>
        <w:t xml:space="preserve">3.8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e (vi)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ONS, o limite do ponto de conexão e a validade dos cortes de Benders. O código e os dados são mantidos sob controle de versão, o que assegura a reprodutibilidade dos resultados.</w:t>
      </w:r>
    </w:p>
    <w:bookmarkEnd w:id="37"/>
    <w:bookmarkStart w:id="38" w:name="hipóteses-e-limitações"/>
    <w:p>
      <w:pPr>
        <w:pStyle w:val="Heading2"/>
      </w:pPr>
      <w:r>
        <w:t xml:space="preserve">3.9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A incerteza tratada pela Seção 3.7 é apenas a variação entre anos; a incerteza do despacho do ONS, cujo risco é alocado ao empreendedor pela Portaria, é representada somente pela regra de despacho baseada no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horizonte, sem reajuste pelo Índice Nacional de Preços ao Consumidor Amplo (IPCA), sem o abatimento mensal por desempenho e sem as penalidades por indisponibilidade, cujos detalhes dependem do edital do leilão;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é proporcional à energia descarregada, sem dependência da profundidade de descarga;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condições cíclicas semanais:</w:t>
      </w:r>
      <w:r>
        <w:t xml:space="preserve"> </w:t>
      </w:r>
      <w:r>
        <w:t xml:space="preserve">a decomposição impõe que os estados de armazenamento retornem ao valor inicial ao final de cada semana, impedindo transferências de energia ou de hidrogênio entre semanas;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 é um valor de referência ainda não calibrado com contratos reais;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futuros.</w:t>
      </w:r>
    </w:p>
    <w:bookmarkEnd w:id="38"/>
    <w:bookmarkStart w:id="39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Disponível em: https://dadosabertos.ccee.org.br. Acesso em: 27 set.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39"/>
    <w:bookmarkEnd w:id="40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2026-10-03T14:03:10Z</dcterms:created>
  <dcterms:modified xsi:type="dcterms:W3CDTF">2026-10-03T14:03:10Z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