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2.png" ContentType="image/png"/>
  <Override PartName="/word/media/rId41.png" ContentType="image/png"/>
  <Override PartName="/word/media/rId45.png" ContentType="image/png"/>
  <Override PartName="/word/media/rId48.png" ContentType="image/png"/>
  <Override PartName="/word/media/rId37.png" ContentType="image/png"/>
  <Override PartName="/word/media/rId17.png" ContentType="image/png"/>
  <Override PartName="/word/media/rId27.png" ContentType="image/png"/>
  <Override PartName="/word/media/rId21.png" ContentType="image/png"/>
  <Override PartName="/word/media/rId55.png" ContentType="image/png"/>
  <Override PartName="/word/media/rId5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tentativa de solução direta do MILP anual, interrompida após 15 minutos sem solução (Seção 3.6.1); a comparação sistemática com o MILP monolítico é apresentada adiante (Tabela 4.2).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</w:t>
      </w:r>
    </w:p>
    <w:p>
      <w:pPr>
        <w:pStyle w:val="BodyText"/>
      </w:pPr>
      <w:r>
        <w:rPr>
          <w:b/>
          <w:bCs/>
        </w:rPr>
        <w:t xml:space="preserve">Comparação com o MILP monolítico.</w:t>
      </w:r>
      <w:r>
        <w:t xml:space="preserve"> </w:t>
      </w:r>
      <w:r>
        <w:t xml:space="preserve">Para verificar o método diretamente, o problema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livre foi resolvido também como um único MILP, sem decomposição, em horizontes de 28 a 365 dias do cenário de 2025, com as mesmas condições de contorno nas pontas do horizonte e a mesma tolerância (0,01%), e comparado com o Benders em blocos semanais com condição cíclica (Tabela 4.2). O MILP monolítico dá o ótimo exato do horizonte; o Benders, o ótimo do problema com as condições cíclicas semanais, que é uma restrição do primeiro.</w:t>
      </w:r>
    </w:p>
    <w:p>
      <w:pPr>
        <w:pStyle w:val="Legenda"/>
      </w:pPr>
      <w:r>
        <w:t xml:space="preserve">Tabela 4.2 – Benders em blocos semanais e MILP monolítico no cenário de 2025 (HiGHS, quatro núcleos; lucro inclui a receita fixa rateada)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e horizonte</w:t>
            </w:r>
          </w:p>
        </w:tc>
        <w:tc>
          <w:tcPr/>
          <w:p>
            <w:pPr>
              <w:pStyle w:val="Compact"/>
            </w:pPr>
            <w:r>
              <w:t xml:space="preserve">Monolítico: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Monolítico: lucro (R$ mi)</w:t>
            </w:r>
          </w:p>
        </w:tc>
        <w:tc>
          <w:tcPr/>
          <w:p>
            <w:pPr>
              <w:pStyle w:val="Compact"/>
            </w:pPr>
            <w:r>
              <w:t xml:space="preserve">Monolítico: tempo</w:t>
            </w:r>
          </w:p>
        </w:tc>
        <w:tc>
          <w:tcPr/>
          <w:p>
            <w:pPr>
              <w:pStyle w:val="Compact"/>
            </w:pPr>
            <w:r>
              <w:t xml:space="preserve">Benders: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Benders: lucro (R$ mi)</w:t>
            </w:r>
          </w:p>
        </w:tc>
        <w:tc>
          <w:tcPr/>
          <w:p>
            <w:pPr>
              <w:pStyle w:val="Compact"/>
            </w:pPr>
            <w:r>
              <w:t xml:space="preserve">Benders: tempo</w:t>
            </w:r>
          </w:p>
        </w:tc>
        <w:tc>
          <w:tcPr/>
          <w:p>
            <w:pPr>
              <w:pStyle w:val="Compact"/>
            </w:pPr>
            <w:r>
              <w:t xml:space="preserve">Diferença no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(jan.)</w:t>
            </w:r>
          </w:p>
        </w:tc>
        <w:tc>
          <w:tcPr/>
          <w:p>
            <w:pPr>
              <w:pStyle w:val="Compact"/>
            </w:pPr>
            <w:r>
              <w:t xml:space="preserve">55,04</w:t>
            </w:r>
          </w:p>
        </w:tc>
        <w:tc>
          <w:tcPr/>
          <w:p>
            <w:pPr>
              <w:pStyle w:val="Compact"/>
            </w:pPr>
            <w:r>
              <w:t xml:space="preserve">4,8912</w:t>
            </w:r>
          </w:p>
        </w:tc>
        <w:tc>
          <w:tcPr/>
          <w:p>
            <w:pPr>
              <w:pStyle w:val="Compact"/>
            </w:pPr>
            <w:r>
              <w:t xml:space="preserve">38 s</w:t>
            </w:r>
          </w:p>
        </w:tc>
        <w:tc>
          <w:tcPr/>
          <w:p>
            <w:pPr>
              <w:pStyle w:val="Compact"/>
            </w:pPr>
            <w:r>
              <w:t xml:space="preserve">55,17</w:t>
            </w:r>
          </w:p>
        </w:tc>
        <w:tc>
          <w:tcPr/>
          <w:p>
            <w:pPr>
              <w:pStyle w:val="Compact"/>
            </w:pPr>
            <w:r>
              <w:t xml:space="preserve">4,8913</w:t>
            </w:r>
          </w:p>
        </w:tc>
        <w:tc>
          <w:tcPr/>
          <w:p>
            <w:pPr>
              <w:pStyle w:val="Compact"/>
            </w:pPr>
            <w:r>
              <w:t xml:space="preserve">46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(jul.)</w:t>
            </w:r>
          </w:p>
        </w:tc>
        <w:tc>
          <w:tcPr/>
          <w:p>
            <w:pPr>
              <w:pStyle w:val="Compact"/>
            </w:pPr>
            <w:r>
              <w:t xml:space="preserve">51,54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8 s</w:t>
            </w:r>
          </w:p>
        </w:tc>
        <w:tc>
          <w:tcPr/>
          <w:p>
            <w:pPr>
              <w:pStyle w:val="Compact"/>
            </w:pPr>
            <w:r>
              <w:t xml:space="preserve">51,53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48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(jan.)</w:t>
            </w:r>
          </w:p>
        </w:tc>
        <w:tc>
          <w:tcPr/>
          <w:p>
            <w:pPr>
              <w:pStyle w:val="Compact"/>
            </w:pPr>
            <w:r>
              <w:t xml:space="preserve">54,83</w:t>
            </w:r>
          </w:p>
        </w:tc>
        <w:tc>
          <w:tcPr/>
          <w:p>
            <w:pPr>
              <w:pStyle w:val="Compact"/>
            </w:pPr>
            <w:r>
              <w:t xml:space="preserve">4,6507</w:t>
            </w:r>
          </w:p>
        </w:tc>
        <w:tc>
          <w:tcPr/>
          <w:p>
            <w:pPr>
              <w:pStyle w:val="Compact"/>
            </w:pPr>
            <w:r>
              <w:t xml:space="preserve">37 s</w:t>
            </w:r>
          </w:p>
        </w:tc>
        <w:tc>
          <w:tcPr/>
          <w:p>
            <w:pPr>
              <w:pStyle w:val="Compact"/>
            </w:pPr>
            <w:r>
              <w:t xml:space="preserve">55,37</w:t>
            </w:r>
          </w:p>
        </w:tc>
        <w:tc>
          <w:tcPr/>
          <w:p>
            <w:pPr>
              <w:pStyle w:val="Compact"/>
            </w:pPr>
            <w:r>
              <w:t xml:space="preserve">4,5478</w:t>
            </w:r>
          </w:p>
        </w:tc>
        <w:tc>
          <w:tcPr/>
          <w:p>
            <w:pPr>
              <w:pStyle w:val="Compact"/>
            </w:pPr>
            <w:r>
              <w:t xml:space="preserve">103 s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(jul.)</w:t>
            </w:r>
          </w:p>
        </w:tc>
        <w:tc>
          <w:tcPr/>
          <w:p>
            <w:pPr>
              <w:pStyle w:val="Compact"/>
            </w:pPr>
            <w:r>
              <w:t xml:space="preserve">53,53</w:t>
            </w:r>
          </w:p>
        </w:tc>
        <w:tc>
          <w:tcPr/>
          <w:p>
            <w:pPr>
              <w:pStyle w:val="Compact"/>
            </w:pPr>
            <w:r>
              <w:t xml:space="preserve">4,9891</w:t>
            </w:r>
          </w:p>
        </w:tc>
        <w:tc>
          <w:tcPr/>
          <w:p>
            <w:pPr>
              <w:pStyle w:val="Compact"/>
            </w:pPr>
            <w:r>
              <w:t xml:space="preserve">22 s</w:t>
            </w:r>
          </w:p>
        </w:tc>
        <w:tc>
          <w:tcPr/>
          <w:p>
            <w:pPr>
              <w:pStyle w:val="Compact"/>
            </w:pPr>
            <w:r>
              <w:t xml:space="preserve">53,76</w:t>
            </w:r>
          </w:p>
        </w:tc>
        <w:tc>
          <w:tcPr/>
          <w:p>
            <w:pPr>
              <w:pStyle w:val="Compact"/>
            </w:pPr>
            <w:r>
              <w:t xml:space="preserve">4,9664</w:t>
            </w:r>
          </w:p>
        </w:tc>
        <w:tc>
          <w:tcPr/>
          <w:p>
            <w:pPr>
              <w:pStyle w:val="Compact"/>
            </w:pPr>
            <w:r>
              <w:t xml:space="preserve">85 s</w:t>
            </w:r>
          </w:p>
        </w:tc>
        <w:tc>
          <w:tcPr/>
          <w:p>
            <w:pPr>
              <w:pStyle w:val="Compact"/>
            </w:pPr>
            <w:r>
              <w:t xml:space="preserve">−0,46%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91 dias</w:t>
            </w:r>
          </w:p>
        </w:tc>
        <w:tc>
          <w:tcPr/>
          <w:p>
            <w:pPr>
              <w:pStyle w:val="Compact"/>
            </w:pPr>
            <w:r>
              <w:t xml:space="preserve">55,08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21 min</w:t>
            </w:r>
          </w:p>
        </w:tc>
        <w:tc>
          <w:tcPr/>
          <w:p>
            <w:pPr>
              <w:pStyle w:val="Compact"/>
            </w:pPr>
            <w:r>
              <w:t xml:space="preserve">55,05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83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182 dias</w:t>
            </w:r>
          </w:p>
        </w:tc>
        <w:tc>
          <w:tcPr/>
          <w:p>
            <w:pPr>
              <w:pStyle w:val="Compact"/>
            </w:pPr>
            <w:r>
              <w:t xml:space="preserve">54,39*</w:t>
            </w:r>
          </w:p>
        </w:tc>
        <w:tc>
          <w:tcPr/>
          <w:p>
            <w:pPr>
              <w:pStyle w:val="Compact"/>
            </w:pPr>
            <w:r>
              <w:t xml:space="preserve">33,447*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54,64</w:t>
            </w:r>
          </w:p>
        </w:tc>
        <w:tc>
          <w:tcPr/>
          <w:p>
            <w:pPr>
              <w:pStyle w:val="Compact"/>
            </w:pPr>
            <w:r>
              <w:t xml:space="preserve">33,466</w:t>
            </w:r>
          </w:p>
        </w:tc>
        <w:tc>
          <w:tcPr/>
          <w:p>
            <w:pPr>
              <w:pStyle w:val="Compact"/>
            </w:pPr>
            <w:r>
              <w:t xml:space="preserve">137 s</w:t>
            </w:r>
          </w:p>
        </w:tc>
        <w:tc>
          <w:tcPr/>
          <w:p>
            <w:pPr>
              <w:pStyle w:val="Compact"/>
            </w:pPr>
            <w:r>
              <w:t xml:space="preserve">+0,06%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365 dias</w:t>
            </w:r>
          </w:p>
        </w:tc>
        <w:tc>
          <w:tcPr/>
          <w:p>
            <w:pPr>
              <w:pStyle w:val="Compact"/>
            </w:pPr>
            <w:r>
              <w:t xml:space="preserve">53,24*</w:t>
            </w:r>
          </w:p>
        </w:tc>
        <w:tc>
          <w:tcPr/>
          <w:p>
            <w:pPr>
              <w:pStyle w:val="Compact"/>
            </w:pPr>
            <w:r>
              <w:t xml:space="preserve">67,723*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54,62</w:t>
            </w:r>
          </w:p>
        </w:tc>
        <w:tc>
          <w:tcPr/>
          <w:p>
            <w:pPr>
              <w:pStyle w:val="Compact"/>
            </w:pPr>
            <w:r>
              <w:t xml:space="preserve">67,774</w:t>
            </w:r>
          </w:p>
        </w:tc>
        <w:tc>
          <w:tcPr/>
          <w:p>
            <w:pPr>
              <w:pStyle w:val="Compact"/>
            </w:pPr>
            <w:r>
              <w:t xml:space="preserve">266 s</w:t>
            </w:r>
          </w:p>
        </w:tc>
        <w:tc>
          <w:tcPr/>
          <w:p>
            <w:pPr>
              <w:pStyle w:val="Compact"/>
            </w:pPr>
            <w:r>
              <w:t xml:space="preserve">+0,08%</w:t>
            </w:r>
          </w:p>
        </w:tc>
      </w:tr>
    </w:tbl>
    <w:p>
      <w:pPr>
        <w:pStyle w:val="Fonte"/>
      </w:pPr>
      <w:r>
        <w:t xml:space="preserve">Fonte: elaborado pelo autor. * Interrompido no limite de 30 minutos,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0,07% (182 dias) e 0,09% (365 dias) em relação ao limite superior do próprio MILP; nos demais casos, o MILP monolítico foi resolvido até a tolerância.</w:t>
      </w:r>
    </w:p>
    <w:p>
      <w:pPr>
        <w:pStyle w:val="BodyText"/>
      </w:pPr>
      <w:r>
        <w:t xml:space="preserve">Sem contrato de hidrogênio, os dois métodos chegam ao mesmo lucro, a menos da tolerância, e a potências que diferem em no máximo 0,13 MW, dentro da região plana do ótimo. O tempo do MILP monolítico, porém, cresce muito mais rápido que o horizonte: 38 s para 28 dias, 21 minutos para 91 dias, e, com 182 e 365 dias,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não atinge a tolerância em 30 minutos e entrega soluções piores que as do Benders (53,2 MW e R$ 67,72 milhões no ano, contra 54,6 MW e R$ 67,77 milhões em 4,4 minutos). O limite superior do MILP anual (R$ 67,787 milhões) certifica que a solução do Benders está a menos de 0,02% do ótimo exato do ano. Com contrato de 3 t/dia, a condição cíclica semanal custa 0,5% a 2,2% do lucro do mês, coerente com a diferença entre as fronteiras discutida acima, e a potência ótima difere em até 0,5 MW; por isso, nas avaliações com potência fixa, a fronteira dos blocos é tomada da relaxação linear do ano. Com um bloco só, em contrapartida, o Benders não traz vantagem: em uma semana isolada, a função valor não côncava impede o fechamento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(0,38%), e, em 28 dias, o MILP lagrangiano do corte reforçado não foi resolvido em duas horas, contra 38 s do MILP monolítico. A vantagem do método vem, portanto, da divisão do ano em muitos blocos pequenos e independentes, que mantém cada MILP pequeno e permite resolvê-los em paralelo.</w:t>
      </w:r>
    </w:p>
    <w:p>
      <w:pPr>
        <w:pStyle w:val="BodyText"/>
      </w:pPr>
      <w:r>
        <w:rPr>
          <w:b/>
          <w:bCs/>
        </w:rPr>
        <w:t xml:space="preserve">Dias representativos.</w:t>
      </w:r>
      <w:r>
        <w:t xml:space="preserve"> </w:t>
      </w:r>
      <w:r>
        <w:t xml:space="preserve">Uma alternativa frequente na literatura é reduzir o ano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dias representativos, obtidos por agrupamento das séries diárias, e resolver o modelo só para esses dias, ponderados pelo número de dias de cada grupo. Para medir o erro dessa abordagem, o MILP de 24 h foi resolvido para cada dia dos cinco cenários e cada potência da grade da curva de oferta, com condição cíclica diária, e os dias de cada ano foram agrupados por</w:t>
      </w:r>
      <w:r>
        <w:t xml:space="preserve"> </w:t>
      </w:r>
      <w:r>
        <w:rPr>
          <w:i/>
          <w:iCs/>
        </w:rPr>
        <w:t xml:space="preserve">k-medoids</w:t>
      </w:r>
      <w:r>
        <w:t xml:space="preserve"> </w:t>
      </w:r>
      <w:r>
        <w:t xml:space="preserve">sobre os perfis horários padronizados de PLD e de fator de capacidade FV, com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6, 12, 24 e 48. A Tabela 4.3 compara as curvas de oferta resultantes com a dos blocos semanais.</w:t>
      </w:r>
    </w:p>
    <w:p>
      <w:pPr>
        <w:pStyle w:val="Legenda"/>
      </w:pPr>
      <w:r>
        <w:t xml:space="preserve">Tabela 4.3 – Curva de oferta com blocos semanais, blocos diários e dias representativos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 potência ótima (MW)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 potência ótima (MW)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semanais (referência)</w:t>
            </w:r>
          </w:p>
        </w:tc>
        <w:tc>
          <w:tcPr/>
          <w:p>
            <w:pPr>
              <w:pStyle w:val="Compact"/>
            </w:pPr>
            <w:r>
              <w:t xml:space="preserve">45,03</w:t>
            </w:r>
          </w:p>
        </w:tc>
        <w:tc>
          <w:tcPr/>
          <w:p>
            <w:pPr>
              <w:pStyle w:val="Compact"/>
            </w:pPr>
            <w:r>
              <w:t xml:space="preserve">14,05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39,38</w:t>
            </w:r>
          </w:p>
        </w:tc>
        <w:tc>
          <w:tcPr/>
          <w:p>
            <w:pPr>
              <w:pStyle w:val="Compact"/>
            </w:pPr>
            <w:r>
              <w:t xml:space="preserve">14,43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diários (todos os dias)</w:t>
            </w:r>
          </w:p>
        </w:tc>
        <w:tc>
          <w:tcPr/>
          <w:p>
            <w:pPr>
              <w:pStyle w:val="Compact"/>
            </w:pPr>
            <w:r>
              <w:t xml:space="preserve">44,93</w:t>
            </w:r>
          </w:p>
        </w:tc>
        <w:tc>
          <w:tcPr/>
          <w:p>
            <w:pPr>
              <w:pStyle w:val="Compact"/>
            </w:pPr>
            <w:r>
              <w:t xml:space="preserve">13,95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34,78</w:t>
            </w:r>
          </w:p>
        </w:tc>
        <w:tc>
          <w:tcPr/>
          <w:p>
            <w:pPr>
              <w:pStyle w:val="Compact"/>
            </w:pPr>
            <w:r>
              <w:t xml:space="preserve">10,15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dias representativos</w:t>
            </w:r>
          </w:p>
        </w:tc>
        <w:tc>
          <w:tcPr/>
          <w:p>
            <w:pPr>
              <w:pStyle w:val="Compact"/>
            </w:pPr>
            <w:r>
              <w:t xml:space="preserve">46,57</w:t>
            </w:r>
          </w:p>
        </w:tc>
        <w:tc>
          <w:tcPr/>
          <w:p>
            <w:pPr>
              <w:pStyle w:val="Compact"/>
            </w:pPr>
            <w:r>
              <w:t xml:space="preserve">14,12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36,23</w:t>
            </w:r>
          </w:p>
        </w:tc>
        <w:tc>
          <w:tcPr/>
          <w:p>
            <w:pPr>
              <w:pStyle w:val="Compact"/>
            </w:pPr>
            <w:r>
              <w:t xml:space="preserve">8,59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dias representativos</w:t>
            </w:r>
          </w:p>
        </w:tc>
        <w:tc>
          <w:tcPr/>
          <w:p>
            <w:pPr>
              <w:pStyle w:val="Compact"/>
            </w:pPr>
            <w:r>
              <w:t xml:space="preserve">45,67</w:t>
            </w:r>
          </w:p>
        </w:tc>
        <w:tc>
          <w:tcPr/>
          <w:p>
            <w:pPr>
              <w:pStyle w:val="Compact"/>
            </w:pPr>
            <w:r>
              <w:t xml:space="preserve">13,92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34,76</w:t>
            </w:r>
          </w:p>
        </w:tc>
        <w:tc>
          <w:tcPr/>
          <w:p>
            <w:pPr>
              <w:pStyle w:val="Compact"/>
            </w:pPr>
            <w:r>
              <w:t xml:space="preserve">8,51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dias representativos</w:t>
            </w:r>
          </w:p>
        </w:tc>
        <w:tc>
          <w:tcPr/>
          <w:p>
            <w:pPr>
              <w:pStyle w:val="Compact"/>
            </w:pPr>
            <w:r>
              <w:t xml:space="preserve">45,86</w:t>
            </w:r>
          </w:p>
        </w:tc>
        <w:tc>
          <w:tcPr/>
          <w:p>
            <w:pPr>
              <w:pStyle w:val="Compact"/>
            </w:pPr>
            <w:r>
              <w:t xml:space="preserve">14,13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35,25</w:t>
            </w:r>
          </w:p>
        </w:tc>
        <w:tc>
          <w:tcPr/>
          <w:p>
            <w:pPr>
              <w:pStyle w:val="Compact"/>
            </w:pPr>
            <w:r>
              <w:t xml:space="preserve">9,14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dias representativos</w:t>
            </w:r>
          </w:p>
        </w:tc>
        <w:tc>
          <w:tcPr/>
          <w:p>
            <w:pPr>
              <w:pStyle w:val="Compact"/>
            </w:pPr>
            <w:r>
              <w:t xml:space="preserve">45,35</w:t>
            </w:r>
          </w:p>
        </w:tc>
        <w:tc>
          <w:tcPr/>
          <w:p>
            <w:pPr>
              <w:pStyle w:val="Compact"/>
            </w:pPr>
            <w:r>
              <w:t xml:space="preserve">14,01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34,83</w:t>
            </w:r>
          </w:p>
        </w:tc>
        <w:tc>
          <w:tcPr/>
          <w:p>
            <w:pPr>
              <w:pStyle w:val="Compact"/>
            </w:pPr>
            <w:r>
              <w:t xml:space="preserve">9,55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Sem contrato de hidrogênio, a operação se repete em ciclos diários, e os blocos diários reproduzem os semanais a menos de 0,2%. O agrupamento acrescenta um erro no nível do lucro, superestimado em 0,7% a 3,4% (R$ 0,3 milhão a R$ 1,5 milhão por ano), pois os medoides suavizam a variabilidade dos dias que representam, mas não na perda de lucro com a potência contratada, que difere em até 1,5%: a potência ótima, a receita mínima de entrada (R$ 74 mil a R$ 75 mil, contra R$ 76 mil/(MW·ano)) e o custo marginal do último MW (R$ 0,89 milhão a R$ 0,91 milhão, contra R$ 0,90 milhão/MW) praticamente não mudam. Com contrato de 3 t/dia, o resultado se inverte. Sem poder levar hidrogênio e energia de um dia para outro, o modelo diário subestima o lucro em 8% a 12% e o custo de oportunidade da potência contratada em 30% a 40% (R$ 8,5 milhões a R$ 10,2 milhões, contra R$ 14,4 milhões por ano com 60 MW), pois não enxerga que, com o módulo mercantil menor, cresce o déficit de entrega nas sequências de dias nublados; a potência ótima sobe para 57,5 MW e o custo marginal do último MW cai de R$ 2,0 milhões para R$ 1,3 milhão a R$ 1,4 milhão/MW. Mais dias representativos não corrigem o erro, porque ele vem da perda da cronologia entre dias, e não do agrupamento. Os blocos semanais, ligados pela fronteira da relaxação do ano, preservam essa cronologia e ficam a menos de 0,1% do limite superior até 55 MW; essa é a razão da escolha da decomposição em blocos cronológicos em vez de dias representativos (Seção 3.6).</w:t>
      </w:r>
    </w:p>
    <w:bookmarkEnd w:id="12"/>
    <w:bookmarkStart w:id="26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4.4 e na Figura 4.2.</w:t>
      </w:r>
    </w:p>
    <w:p>
      <w:pPr>
        <w:pStyle w:val="Legenda"/>
      </w:pPr>
      <w:r>
        <w:t xml:space="preserve">Tabela 4.4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4.5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p>
      <w:pPr>
        <w:pStyle w:val="BodyText"/>
      </w:pPr>
      <w:r>
        <w:rPr>
          <w:b/>
          <w:bCs/>
        </w:rPr>
        <w:t xml:space="preserve">Por que o investimento entra no lance.</w:t>
      </w:r>
      <w:r>
        <w:t xml:space="preserve"> </w:t>
      </w:r>
      <w:r>
        <w:t xml:space="preserve">O lance mínimo inclui o investimento no BESS porque a Portaria contrata sistemas novos, que só serão construídos se a receita fixa os remunerar, e o mercado não o faz: sem o leilão, o BESS acrescenta R$ 8,8 milhões por ano ao lucro operacional da usina, contra um custo anual equivalente de R$ 70,1 milhões. Um lance abaixo do custo anual da bateria venceria o leilão com VPL negativo; o lance mínimo é, por construção, o preço de VPL nulo do BESS. Por isso, a comparação pertinente é com a remuneração de capacidade nova, e não com a de usinas existentes, cujo investimento já foi amortizado: o lance de R$ 1,16 milhão a R$ 1,21 milhão/(MW·ano) supera o preço das termelétricas existentes (R$ 831 mil), mas corresponde a cerca de metade do obtido no leilão que incluiu expansão térmica e hidrelétrica (R$ 2,33 milhões). O investimento deixaria de entrar no lance em dois casos: se a bateria fosse construída de qualquer forma, justificada pela arbitragem ou pelo hidrogênio, quando seu custo seria afundado e a oferta seguiria a curva escalonada da Seção 4.3, a partir de cerca de R$ 76 mil/(MW·ano); e na parcela de custos compartilhados com a usina, como a conexão, que já reduz o lance em R$ 136 mil/(MW·ano) (Subseção 4.2.4). Nenhum dos dois se verifica no caso de referência, em que o uso mercantil cobre 13% do custo anual da bateria. As alavancas que reduzem o lance estão, portanto, no próprio investimento e no custo de capital: com os custos internacionais de 2025, o lance seria de R$ 0,5 milhão a R$ 1,0 milhão (Subseção 4.2.3), e cada ponto percentual a menos na taxa de desconto o reduz em cerca de 5%.</w:t>
      </w:r>
    </w:p>
    <w:p>
      <w:pPr>
        <w:pStyle w:val="BodyText"/>
      </w:pPr>
      <w:r>
        <w:rPr>
          <w:b/>
          <w:bCs/>
        </w:rPr>
        <w:t xml:space="preserve">Relação entre a curva de oferta e o lance.</w:t>
      </w:r>
      <w:r>
        <w:t xml:space="preserve"> </w:t>
      </w:r>
      <w:r>
        <w:t xml:space="preserve">As duas análises do trabalho são complementares. A curva de oferta da Seção 4.3 mede, por meio do modelo de operação, quanto lucro operacional a usina perde por comprometer cada MW do BESS com o leilão,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e define a oferta de quem já dispõe da bateria; o lance mínimo soma a essa perda o custo de construir a bateria. Antes da otimização, não se sabe qual potência ofertar no lance nem quanto vale essa perda: se o uso mercantil ou a produção de hidrogênio fossem valiosos, poderia ser ótimo reter parte do BESS, e o lance incorporaria a perda correspondente. O modelo mostra que, no caso de referência, ao preço do lance todos os MW valem mais no leilão (o custo marginal do último MW, R$ 895 mil, é inferior ao lance) e que, com o BESS todo contratado, a usina opera como se não houvesse bateria, de modo que a parcela de uso mercantil é nula e o lance se reduz ao custo anual do BESS. Esse é um resultado, e não uma hipótese: com contrato de 3 t/dia de hidrogênio, reter parte da bateria compensa, a potência ofertada no lance é de 57,5 MW e o lance cai 3% (Tabela 4.6).</w:t>
      </w:r>
    </w:p>
    <w:bookmarkEnd w:id="20"/>
    <w:bookmarkStart w:id="24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4.6.</w:t>
      </w:r>
    </w:p>
    <w:p>
      <w:pPr>
        <w:pStyle w:val="Legenda"/>
      </w:pPr>
      <w:r>
        <w:t xml:space="preserve">Tabela 4.6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Reposição explícita de módulos somada ao O&amp;M (1 ciclo/dia)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de 2 ciclos/dia (reposição acima da de 1 ciclo/dia)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Spread diário do PLD 25% ou 50% menor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Correspondência diária ou semanal com a exportação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Usina FV de 40 MWp</w:t>
            </w:r>
          </w:p>
        </w:tc>
        <w:tc>
          <w:tcPr/>
          <w:p>
            <w:pPr>
              <w:pStyle w:val="Compact"/>
            </w:pPr>
            <w:r>
              <w:t xml:space="preserve">1.237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Usina FV de 60 ou 75 MWp</w:t>
            </w:r>
          </w:p>
        </w:tc>
        <w:tc>
          <w:tcPr/>
          <w:p>
            <w:pPr>
              <w:pStyle w:val="Compact"/>
            </w:pPr>
            <w:r>
              <w:t xml:space="preserve">1.191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O modelo supõe capacidade de energia constante nos 15 anos, mantida pela reposição de módulos incluída no O&amp;M fixo do BESS. Para verificar essa hipótese, a reposição foi modelada explicitamente (Seção 3.5): a capacidade cai por ciclagem, 20% ao longo de 5.000 ciclos completos (faixa de 4.000 a 6.000), e por calendário, 1% ao ano (faixa de 0,5% a 2%), e são comprados módulos, ao preço da parcela do investimento que escala com a energia (R$ 825/kWh), sempre que a capacidade cairia abaixo da necessária para entregar 4 h na potência do BESS (280,7 MWh para 60 MW). Com um despacho por dia, o BESS de referência (300 MWh) faz 342 ciclos equivalentes por ano e repõe 86 MWh em 15 anos, a partir do segundo ano; o custo anual equivalente é de R$ 4,3 milhões, 46% do O&amp;M fixo do BESS (32% a 73% nas faixas de vida e de calendário). No BESS dimensionado para o contrato (288 MWh), cuja folga inicial é de apenas 2,6%, a reposição começa no primeiro ano e custa 60% do O&amp;M. O O&amp;M de referência comporta, portanto, a reposição com um ciclo por dia, e somá-la ao O&amp;M, o que contaria a reposição duas vezes, elevaria o lance em no máximo 6%. Com dois despachos por dia, o máximo admitido pela Portaria, a reposição passa a 85% do O&amp;M do BESS de referência (71% a 113%) e a 102% no dimensionado, e já não caberia no O&amp;M; cobrando apenas a reposição acima da de um ciclo diário, o lance sobe 5%. A frequência do despacho, irrelevante para a operação (Seção 4.3.6), afeta assim o lance por meio do desgaste, e convém que o proponente a considere ao precificar o risco de um uso mais intenso que o diário.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p>
      <w:pPr>
        <w:pStyle w:val="BodyText"/>
      </w:pPr>
      <w:r>
        <w:t xml:space="preserve">A análise de um parâmetro por vez não diz quão provável é cada valor do lance, e várias das premissas de maior efeito são regras ainda não confirmadas. Para levar essa incerteza ao resultado, as premissas de custo e de regra foram sorteadas por Monte Carlo, de forma independente, em 5.000 amostras: o investimento de referência (triangular entre R$ 5.000 e R$ 6.000/kW, moda em R$ 5.500), a parcela de energia (uniforme entre 45% e 75%), a taxa de desconto (triangular entre 8% e 14%, moda em 12,1%), o O&amp;M do BESS (uniforme entre 1,5% e 3,5%), a TUST (triangular na faixa regional), o consumo auxiliar (uniforme entre 0 e 2%), a disponibilidade (uniforme entre 97% e 100%) e o prazo de implantação (0, 1 ou 2 anos, com probabilidades de 25%, 50% e 25%). As regras não confirmadas foram tratadas como eventos binários, com probabilidades que são hipóteses do autor: referência da EPE para 3 h (50%), cobrança dupla da TUST (50%), consumo auxiliar fora da folga da CONCAP (50%), PIS/Cofins não cumulativo (25%), receita sem reajuste pelo IPCA (10%) e despacho de dois ciclos por dia (20%). A Figura 4.4 apresenta a distribuição resultante para o BESS dimensionado para o contrato, com 60 MW e 288 MWh.</w:t>
      </w:r>
    </w:p>
    <w:p>
      <w:pPr>
        <w:pStyle w:val="Legenda"/>
      </w:pPr>
      <w:r>
        <w:t xml:space="preserve">Figura 4.4 – Monte Carlo das premissas de custo e de regra: (a) distribuição do lance mínimo do BESS dimensionado para o contrato; (b) fração da variância do lance explicada por cada premissa isoladamente</w:t>
      </w:r>
    </w:p>
    <w:p>
      <w:pPr>
        <w:pStyle w:val="Figura"/>
      </w:pPr>
      <w:r>
        <w:drawing>
          <wp:inline>
            <wp:extent cx="5334000" cy="196947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lance_monte_carl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9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tem mediana de R$ 1,44 milhão/(MW·ano) e intervalo de 80% (P10 a P90) de R$ 1,17 milhão a R$ 1,78 milhão; com o BESS de referência, de R$ 1,48 milhão (P10 a P90 de R$ 1,20 milhão a R$ 1,82 milhão). O valor determinístico das premissas centrais (R$ 1,18 milhão para o BESS dimensionado de 60 MW e R$ 1,21 milhão para o de referência) fica próximo do percentil 10: só 11% das amostras ficam abaixo dele, porque as regras não confirmadas só podem elevar o lance. Nenhuma amostra fica abaixo do preço das termelétricas existentes no LRCAP de 2026 (R$ 831 mil), e praticamente todas (99,9%) ficam abaixo do preço das termelétricas e hidrelétricas do leilão anterior (R$ 2,33 milhões). Três premissas explicam a maior parte da variância: a duração de referência do custo da EPE (30%), o reajuste da receita pelo IPCA (22%) e a cobrança dupla da TUST (17%), seguidas pela taxa de desconto (12%); o investimento de referência na faixa da EPE, o O&amp;M, a TUST regional, o consumo auxiliar e a disponibilidade explicam, cada um, menos de 5%. Confirmadas as três regras no sentido das premissas centrais (referência de 4 h, sem cobrança dupla e com reajuste), a mediana cai para R$ 1,20 milhão e o intervalo de 80% para R$ 1,06 milhão a R$ 1,33 milhão. O resultado reforça que a incerteza relevante para o lance é documental e regulatória, e não de preço ou de geração: três verificações nos documentos originais estreitariam o intervalo do lance à metade. As probabilidades atribuídas às regras são subjetivas, e o resultado deve ser lido como ilustração dessa sensibilidade, não como previsão.</w:t>
      </w:r>
    </w:p>
    <w:bookmarkEnd w:id="24"/>
    <w:bookmarkStart w:id="25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4.7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4.7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5"/>
    <w:bookmarkEnd w:id="26"/>
    <w:bookmarkStart w:id="59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4.8.</w:t>
      </w:r>
    </w:p>
    <w:p>
      <w:pPr>
        <w:pStyle w:val="Legenda"/>
      </w:pPr>
      <w:r>
        <w:t xml:space="preserve">Tabela 4.8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30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4.5(a)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4.5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estocastico_unife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4.5,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4.9.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4.9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4.10):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4.5(b):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30"/>
    <w:bookmarkStart w:id="31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4.10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4.10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rPr>
          <w:b/>
          <w:bCs/>
        </w:rPr>
        <w:t xml:space="preserve">Pareamento entre irradiância e preço.</w:t>
      </w:r>
      <w:r>
        <w:t xml:space="preserve"> </w:t>
      </w:r>
      <w:r>
        <w:t xml:space="preserve">Os cenários de 2024 e 2025 usam a irradiância de 2023, pois a base SARAH-3 termina nesse ano (Seção 3.10, hipótese i). Para medir o efeito dessa escolha, a curva de oferta de cada um desses cenários foi recalculada isoladamente com a irradiância de 2021, de 2022 e de 2023, transposta para o calendário do ano do PLD. Com o PLD de 2025, a potência ótima com a receita de referência é de 55 MW com as três irradiâncias, a receita mínima de entrada fica em R$ 77 mil/(MW·ano) e o lucro operacional sem o leilão varia entre R$ 43,3 milhões e R$ 45,3 milhões por ano (±2%), conforme a irradiância do ano; o custo marginal do último MW varia entre R$ 822 mil e R$ 878 mil/MW. Com o PLD de 2024, a potência ótima é de 52,5 MW com a irradiância de 2022 e de 2023 e de 50 MW com a de 2021, e a receita mínima de entrada fica em R$ 84 mil a R$ 85 mil/(MW·ano). O ano de irradiância altera o nível do lucro, mas pouco a decisão, que depende mais do ano de preços (55 MW em 2025 contra 50 a 52,5 MW em 2024) do que da irradiância associada a ele.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4.6(b),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31"/>
    <w:bookmarkStart w:id="35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4.6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4.6(b)).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4.6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as/curva_ofert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4.6(c)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4.6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5"/>
    <w:bookmarkStart w:id="36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4.11 resume, para a receita fixa de referência, a potência ótima, o lucro e a operação média de cada caso.</w:t>
      </w:r>
    </w:p>
    <w:p>
      <w:pPr>
        <w:pStyle w:val="Legenda"/>
      </w:pPr>
      <w:r>
        <w:t xml:space="preserve">Tabela 4.11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4.4).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6"/>
    <w:bookmarkStart w:id="40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4.7 e a Tabela 4.12 comparam esses casos com o caso de referência, em que a importação é vedada, e com o de importação livre.</w:t>
      </w:r>
    </w:p>
    <w:p>
      <w:pPr>
        <w:pStyle w:val="Legenda"/>
      </w:pPr>
      <w:r>
        <w:t xml:space="preserve">Figura 4.7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emisso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4.4):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p>
      <w:pPr>
        <w:pStyle w:val="BodyText"/>
      </w:pPr>
      <w:r>
        <w:rPr>
          <w:b/>
          <w:bCs/>
        </w:rPr>
        <w:t xml:space="preserve">Correspondência temporal.</w:t>
      </w:r>
      <w:r>
        <w:t xml:space="preserve"> </w:t>
      </w:r>
      <w:r>
        <w:t xml:space="preserve">Uma regra alternativa ao limite de intensidade, inspirada no regulamento europeu, admite a compra da rede para o eletrolisador desde que, em cada janela, ela não exceda a energia renovável exportada pela própria usina (Seção 3.4.5). Com janela diária, a potência ótima com a receita de referência passa a 60 MW e o lucro esperado a R$ 72,7 milhões por ano (+7% em relação ao caso de referência); a usina compra 23,0 GWh/ano, praticamente toda à noite, e vende 28,3 GWh, o fator de capacidade do eletrolisador sobe de 0,37 para 0,47 e o hidrogênio vendido, de 1.029 t para 1.301 t por ano. Com janela semanal, os resultados são quase os mesmos (R$ 72,9 milhões; 1.307 t), pois a compra fica limitada pela própria exportação da usina; a janela mensal, admitida pelo regulamento europeu até 2029, deve, portanto, ter efeito semelhante. A regra fica entre o hidrogênio verde estrito e a importação livre (R$ 88,5 milhões; 2.553 t), e, ao suprir o eletrolisador à noite pela rede, libera o BESS para o leilão. O lance mínimo não se altera (R$ 1,214 milhão/(MW·ano)), e o preço de equilíbrio do hidrogênio cai de R$ 116/kg para R$ 95/kg a R$ 96/kg.</w:t>
      </w:r>
    </w:p>
    <w:bookmarkEnd w:id="40"/>
    <w:bookmarkStart w:id="44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4.8 e a Tabela 4.13 apresentam a curva de oferta do caso de referência para 50, 150 e 365 despachos por ano.</w:t>
      </w:r>
    </w:p>
    <w:p>
      <w:pPr>
        <w:pStyle w:val="Legenda"/>
      </w:pPr>
      <w:r>
        <w:t xml:space="preserve">Figura 4.8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curva_oferta_ciclo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4.8(b)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4.6)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p>
      <w:pPr>
        <w:pStyle w:val="BodyText"/>
      </w:pPr>
      <w:r>
        <w:t xml:space="preserve">Os cenários supõem também que os preços de 2021 a 2025 se repetem ao longo do contrato, mas o próprio LRCAP deve contratar armazenamento que descarrega na ponta e tende a achatar o perfil diário do PLD. Para representar esse efeito, o PLD de cada hora foi aproximado da média do seu dia,</w:t>
      </w:r>
      <w:r>
        <w:t xml:space="preserve"> </w:t>
      </w:r>
      <m:oMath>
        <m:sSubSup>
          <m:e>
            <m:r>
              <m:t>λ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, com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25% e 50%, o que preserva a média diária e a ordem das horas (e, portanto, o perfil do ONS) e reduz a amplitude diária média de R$ 161/MWh para R$ 121/MWh e R$ 80/MWh no cenário de 2025. O efeito é pequeno: o lucro operacional sem o leilão cai 0,2% e 0,3% (de R$ 45,03 milhões para R$ 44,95 milhões e R$ 44,89 milhões por ano), a perda de lucro com 60 MW contratados cai 1,4% e 2,6% (de R$ 14,05 milhões para R$ 13,86 milhões e R$ 13,69 milhões), a receita mínima de entrada passa de R$ 76 mil para R$ 75 mil e R$ 74 mil/(MW·ano), o custo marginal do último MW, de R$ 895 mil para R$ 885 mil e R$ 876 mil/MW, e a potência ótima com a receita de referência permanece em 55 MW. A arbitragem do módulo mercantil responde por pouco do custo de oportunidade, dominado pela energia que deixa de ir ao eletrolisador, cuja valorização não depende do perfil horário do PLD; com o spread menor, a exportação ao MCP chega a aumentar ligeiramente, pois perde valor guardar energia para a ponta. O lance mínimo não se altera, pois, com o BESS todo contratado, a perda do uso mercantil é nula (Seção 4.2.2).</w:t>
      </w:r>
    </w:p>
    <w:bookmarkEnd w:id="44"/>
    <w:bookmarkStart w:id="51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4.9 e a Tabela 4.14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4.9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degradaca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4.14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4.9(b):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4.10 e a Tabela 4.15 comparam eletrolisadores de 10, 17,5 e 25 MW, mantida a usina FV de 50 MWp.</w:t>
      </w:r>
    </w:p>
    <w:p>
      <w:pPr>
        <w:pStyle w:val="Legenda"/>
      </w:pPr>
      <w:r>
        <w:t xml:space="preserve">Figura 4.10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as/curva_oferta_eletrolisado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4.15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4.6).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4.4).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p>
      <w:pPr>
        <w:pStyle w:val="BodyText"/>
      </w:pPr>
      <w:r>
        <w:rPr>
          <w:b/>
          <w:bCs/>
        </w:rPr>
        <w:t xml:space="preserve">Tamanho da usina FV.</w:t>
      </w:r>
      <w:r>
        <w:t xml:space="preserve"> </w:t>
      </w:r>
      <w:r>
        <w:t xml:space="preserve">A potência da usina FV foi variada entre 40 MWp e 75 MWp, com o eletrolisador de 17,5 MW e o limite de exportação de 40 MW mantidos. Quanto maior a usina FV em relação ao eletrolisador e à exportação, mais o módulo mercantil é usado para deslocar o excedente solar, e maior o custo de oportunidade de contratá-lo: a potência ótima com a receita de referência é de 55 MW com 40 e 50 MWp, de 52,5 MW com 60 MWp e de 47,5 MW com 75 MWp, e a receita mínima de entrada sobe de R$ 76 mil para R$ 89 mil e R$ 244 mil/(MW·ano); o custo marginal do último MW vai de R$ 758 mil (40 MWp) a R$ 1,055 milhão/MW (75 MWp). O efeito é o inverso do aumento do eletrolisador, que absorve o sol diretamente e libera o BESS para o leilão. O lance mínimo do BESS a construir muda pouco, apenas pelo compartilhamento da conexão: com 40 MWp, a injeção do BESS de 60 MW excede a da usina FV e o lance sobe para R$ 1,237 milhão/(MW·ano) (+2%); com 60 ou 75 MWp, a TUST adicional desaparece e o lance cai para R$ 1,191 milhão (−2%). O empreendimento híbrido não se paga em nenhuma configuração com hidrogênio a R$ 35/kg: o preço de equilíbrio do hidrogênio vai de R$ 121/kg (40 MWp) a R$ 109/kg (75 MWp) e de R$ 126/kg (eletrolisador de 10 MW) a R$ 115/kg (25 MW), de modo que o dimensionamento da usina FV e do eletrolisador é uma questão de viabilidade do hidrogênio, e não do lance.</w:t>
      </w:r>
    </w:p>
    <w:bookmarkEnd w:id="51"/>
    <w:bookmarkStart w:id="58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4.11.</w:t>
      </w:r>
    </w:p>
    <w:p>
      <w:pPr>
        <w:pStyle w:val="Legenda"/>
      </w:pPr>
      <w:r>
        <w:t xml:space="preserve">Figura 4.11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4.12).</w:t>
      </w:r>
    </w:p>
    <w:p>
      <w:pPr>
        <w:pStyle w:val="Legenda"/>
      </w:pPr>
      <w:r>
        <w:t xml:space="preserve">Figura 4.12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4.11 e 4.12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8"/>
    <w:bookmarkEnd w:id="59"/>
    <w:bookmarkStart w:id="60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60"/>
    <w:bookmarkStart w:id="61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61"/>
    <w:bookmarkEnd w:id="62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2026-10-21T11:34:50Z</dcterms:created>
  <dcterms:modified xsi:type="dcterms:W3CDTF">2026-10-21T11:34:50Z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