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construção da curva de oferta no leilão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custos de investimento não são incluídos, uma vez que as capacidades são fixas.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valor que corresponde a ressarcir o comprador pelo produto que ele precisará adquirir de outro fornecedor.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3.8.2.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0" w:name="X1be5cdf3d160ac75d13eea8d7b66bea13b76fa0"/>
    <w:p>
      <w:pPr>
        <w:pStyle w:val="Heading2"/>
      </w:pPr>
      <w:r>
        <w:t xml:space="preserve">3.8 Curva de oferta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 procedimento utilizado para obter essa relação — a curva de oferta — e os casos de sensibilidade avaliados com ele.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mas deve ser coberto pela receita total para que o empreendimento seja viável; a análise de viabilidade econômica está fora do escopo desta etapa.</w:t>
      </w:r>
    </w:p>
    <w:bookmarkEnd w:id="37"/>
    <w:bookmarkStart w:id="38" w:name="frequência-do-despacho-do-ons"/>
    <w:p>
      <w:pPr>
        <w:pStyle w:val="Heading3"/>
      </w:pPr>
      <w:r>
        <w:t xml:space="preserve">3.8.2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bookmarkEnd w:id="38"/>
    <w:bookmarkStart w:id="39" w:name="casos-avaliados"/>
    <w:p>
      <w:pPr>
        <w:pStyle w:val="Heading3"/>
      </w:pPr>
      <w:r>
        <w:t xml:space="preserve">3.8.3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três hipóteses que a análise do caso de referência indicou como determinantes para o custo de oportunidade: a existência de um limite de demanda de hidrogênio (Seção 3.4.5), a vedação à importação de energia da rede e a frequência do despacho do ONS.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Despachos do ONS por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150; 365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mil/(MW·ano).</w:t>
      </w:r>
    </w:p>
    <w:bookmarkEnd w:id="39"/>
    <w:bookmarkEnd w:id="40"/>
    <w:bookmarkStart w:id="41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e (vii)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1"/>
    <w:bookmarkStart w:id="42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3.8.2),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 é um valor de referência ainda não calibrado com contratos reais;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2"/>
    <w:bookmarkStart w:id="4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3"/>
    <w:bookmarkEnd w:id="4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2026-10-03T20:13:29Z</dcterms:created>
  <dcterms:modified xsi:type="dcterms:W3CDTF">2026-10-03T20:13:29Z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