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resume a implementação computacional; e a Seção 3.8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a abordagem é determinística, com conhecimento perfeito das séries de preço, de geração e de despacho do Operador Nacional do Sistema Elétrico (ONS) — a extensão estocástica é discutida na Seção 3.8;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custos de investimento não são incluídos, uma vez que as capacidades são fixas.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(3.5), com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σ</m:t>
            </m:r>
          </m:e>
        </m:acc>
        <m:r>
          <m:t>ρ</m:t>
        </m:r>
      </m:oMath>
      <w:r>
        <w:t xml:space="preserve"> </w:t>
      </w:r>
      <w:r>
        <w:t xml:space="preserve">(módulo inicialmente carregado):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e a entrega mínima diária são expressos pelas Equações (3.17) e (3.18):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p>
      <w:pPr>
        <w:pStyle w:val="FirstParagraph"/>
      </w:pPr>
      <w:r>
        <w:t xml:space="preserve">O modelo resultante, composto pela função objetivo da Equação (3.1) e pelas restrições das Equações (3.3) a (3.18), é um MILP. Para um horizonte de uma semana (168 h), o problema possui 1.681 variáveis contínuas, 505 variáveis binárias e 2.692 restrições; para um ano (8.760 h), 87.601 variáveis contínuas, 26.281 binárias e 140.164 restrições.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A receita fixa do LRCAP e o preço do hidrogênio não possuem, até o momento, referências de mercado consolidadas no Brasil e são, por isso, objeto de análise de sensibilidade.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bloco, o problema anual pode ser reescrito conforme a Equação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(3.22),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2" w:name="implementação-computacional"/>
    <w:p>
      <w:pPr>
        <w:pStyle w:val="Heading2"/>
      </w:pPr>
      <w:r>
        <w:t xml:space="preserve">3.7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Benders; e (v)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ONS, o limite do ponto de conexão e a validade dos cortes de Benders. O código e os dados são mantidos sob controle de versão, o que assegura a reprodutibilidade dos resultados.</w:t>
      </w:r>
    </w:p>
    <w:bookmarkEnd w:id="32"/>
    <w:bookmarkStart w:id="33" w:name="hipóteses-e-limitações"/>
    <w:p>
      <w:pPr>
        <w:pStyle w:val="Heading2"/>
      </w:pPr>
      <w:r>
        <w:t xml:space="preserve">3.8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previsão perfeita:</w:t>
      </w:r>
      <w:r>
        <w:t xml:space="preserve"> </w:t>
      </w:r>
      <w:r>
        <w:t xml:space="preserve">as séries de PLD, de geração FV e de despacho do ONS são conhecidas antecipadamente, o que tende a superestimar o lucro alcançável na operação real. Em particular, a incerteza do despacho do ONS, cujo risco é alocado ao empreendedor pela Portaria, é candidata natural a uma extensão estocástica em dois estágios, em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decidida no primeiro estágio e a operação se adapta a cenários no segundo;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horizonte, sem reajuste pelo Índice Nacional de Preços ao Consumidor Amplo (IPCA), sem o abatimento mensal por desempenho e sem as penalidades por indisponibilidade, cujos detalhes dependem do edital do leilão;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sem custos de partida,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é proporcional à energia descarregada, sem dependência da profundidade de descarga;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condições cíclicas semanais:</w:t>
      </w:r>
      <w:r>
        <w:t xml:space="preserve"> </w:t>
      </w:r>
      <w:r>
        <w:t xml:space="preserve">a decomposição impõe que os estados de armazenamento retornem ao valor inicial ao final de cada semana, impedindo transferências de energia ou de hidrogênio entre semanas;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a série de irradiância (2023) e a de preços (2025) referem-se a anos diferentes. Para uma usina de pequeno porte em relação ao SIN, a correlação horária entre a geração local e o PLD tende a ser fraca, mas a hipótese deve ser considerada na interpretação dos resultados.</w:t>
      </w:r>
    </w:p>
    <w:bookmarkEnd w:id="33"/>
    <w:bookmarkStart w:id="3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Disponível em: https://dadosabertos.ccee.org.br. Acesso em: 27 set.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34"/>
    <w:bookmarkEnd w:id="3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2026-09-27T21:50:05Z</dcterms:created>
  <dcterms:modified xsi:type="dcterms:W3CDTF">2026-09-27T21:50:05Z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