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construção da curva de oferta no leilão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custos de investimento não são incluídos, uma vez que as capacidades são fixas.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3.8.2.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O custo de degradação pode ser estimado como o custo de reposição dos módulos de bateria dividido pela energia que eles descarregam ao longo da vida útil.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obtém-se entre R$ 120 e R$ 185 por MWh descarregado. O valor de R$ 50/MWh adotado no caso de referência situa-se abaixo dessa faixa; por isso, o efeito de valores de R$ 100 e R$ 200/MWh é avaliado na Seção 3.8.3.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blocos;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0" w:name="X1be5cdf3d160ac75d13eea8d7b66bea13b76fa0"/>
    <w:p>
      <w:pPr>
        <w:pStyle w:val="Heading2"/>
      </w:pPr>
      <w:r>
        <w:t xml:space="preserve">3.8 Curva de oferta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 procedimento utilizado para obter essa relação — a curva de oferta — e os casos de sensibilidade avaliados com ele.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mas deve ser coberto pela receita total para que o empreendimento seja viável; a análise de viabilidade econômica está fora do escopo desta etapa.</w:t>
      </w:r>
    </w:p>
    <w:bookmarkEnd w:id="37"/>
    <w:bookmarkStart w:id="38" w:name="frequência-do-despacho-do-ons"/>
    <w:p>
      <w:pPr>
        <w:pStyle w:val="Heading3"/>
      </w:pPr>
      <w:r>
        <w:t xml:space="preserve">3.8.2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bookmarkEnd w:id="38"/>
    <w:bookmarkStart w:id="39" w:name="casos-avaliados"/>
    <w:p>
      <w:pPr>
        <w:pStyle w:val="Heading3"/>
      </w:pPr>
      <w:r>
        <w:t xml:space="preserve">3.8.3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mil/(MW·ano).</w:t>
      </w:r>
    </w:p>
    <w:bookmarkEnd w:id="39"/>
    <w:bookmarkEnd w:id="40"/>
    <w:bookmarkStart w:id="41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e (vii)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1"/>
    <w:bookmarkStart w:id="42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3.8.2),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descarga, e seu valor de referência (R$ 50/MWh) é inferior à estimativa baseada no custo de reposição dos módulos, o que é tratado por análise de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 o efeito dessa restrição é verificado com blocos de até 28 dias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2"/>
    <w:bookmarkStart w:id="4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3"/>
    <w:bookmarkEnd w:id="4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2026-10-04T20:28:00Z</dcterms:created>
  <dcterms:modified xsi:type="dcterms:W3CDTF">2026-10-04T20:28:00Z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