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34.png" ContentType="image/png"/>
  <Override PartName="/word/media/rId37.png" ContentType="image/png"/>
  <Override PartName="/word/media/rId1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e 4.8 correspondem ao lucro esperado nos cinco cenários anuais de 2021 a 2025 (Seção 3.7.2), em valores de dezembro de 2025; as Seções 4.1 e 4.7 e a análise da decomposição na Seção 4.8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a Seção 4.8, a robustez dos resultados ao custo de degradação, ao dimensionamento e à decomposição; e a Seção 4.9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4.2,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40" w:name="X1203ebb6f0abb2de2d21fa3870bc326cfdd3939"/>
    <w:p>
      <w:pPr>
        <w:pStyle w:val="Heading2"/>
      </w:pPr>
      <w:r>
        <w:t xml:space="preserve">4.8 Robustez: degradação, dimensionamento e decomposição</w:t>
      </w:r>
    </w:p>
    <w:p>
      <w:pPr>
        <w:pStyle w:val="FirstParagraph"/>
      </w:pPr>
      <w:r>
        <w:t xml:space="preserve">Esta seção avalia três hipóteses que poderiam alterar as conclusões anteriores: o custo de degradação do BESS, o dimensionamento do eletrolisador e do tanque de hidrogênio e as condições cíclicas impostas pela decomposição em blocos semanais.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4.6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degradaca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4.6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4.7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letrolisad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4.7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não alterou o resultado: o déficit anual de entrega permaneceu em 61 t e a curva de oferta foi idêntica. O déficit decorre da capacidade de produção, e não da armazenagem: a entrega de 3 t/dia exige cerca de 9,4 h diárias de operação na potência nominal, o que não é alcançado nos dias de baixa irradiância, mesmo com o tanque capaz de acumular a produção de dias anteriores.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bookmarkEnd w:id="40"/>
    <w:bookmarkStart w:id="41" w:name="síntese"/>
    <w:p>
      <w:pPr>
        <w:pStyle w:val="Heading2"/>
      </w:pPr>
      <w:r>
        <w:t xml:space="preserve">4.9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nos casos de contrato de hidrogênio e de importação, o custo de oportunidade marginal situa-se entre R$ 77 mil e R$ 111 mil/(MW·ano) até cerca de 37,5 MW, e a receita mínima de entrada não ultrapassa R$ 100 mil/(MW·ano); mesmo com custo de degradação de R$ 200/MWh ou eletrolisador de 10 MW, ela permanece abaixo de R$ 300 mil/(MW·ano), aquém de todas as referências de receita fixa do Quadro 4.1;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dimensionamento do eletrolisador molda a curva de oferta:</w:t>
      </w:r>
      <w:r>
        <w:t xml:space="preserve"> </w:t>
      </w:r>
      <w:r>
        <w:t xml:space="preserve">com 10 MW, o ótimo cai para 50 MW e o custo de oportunidade parte de R$ 330 mil/(MW·ano); com 25 MW, sobe para 57,5 MW, com custo de cerca de R$ 77 mil/(MW·ano) até 45 MW; o tamanho do tanque, por sua vez, não altera o resultado;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custo de degradação afeta o lucro e o limiar de entrada, mas pouco a potência ótima:</w:t>
      </w:r>
      <w:r>
        <w:t xml:space="preserve"> </w:t>
      </w:r>
      <w:r>
        <w:t xml:space="preserve">quadruplicá-lo reduz o lucro em R$ 13 milhões por ano e desloca o ótimo em 2,5 MW;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e a aproximação da decomposição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a frequência do despacho do ONS desloca o custo de oportunidade de um valor constante, sem alterar a potência ótima, e as condições cíclicas da decomposição semanal não restringem a operação de forma mensurável.</w:t>
      </w:r>
    </w:p>
    <w:p>
      <w:pPr>
        <w:pStyle w:val="FirstParagraph"/>
      </w:pPr>
      <w:r>
        <w:t xml:space="preserve">Em conjunto, esses resultados sugerem que a decisão de contratação é determinada menos pelo comportamento do mercado de energia e mais pelas condições de produção e de comercialização do hidrogênio — dimensionamento do eletrolisador, volume, preço e critério de qualificação —, que são, portanto, as informações prioritárias para a definição do lance no leilão.</w:t>
      </w:r>
    </w:p>
    <w:bookmarkEnd w:id="41"/>
    <w:bookmarkStart w:id="42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42"/>
    <w:bookmarkEnd w:id="43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2026-10-04T20:27:31Z</dcterms:created>
  <dcterms:modified xsi:type="dcterms:W3CDTF">2026-10-04T20:27:31Z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