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hipotético de 60 MW e 300 MWh, conectada ao submercado SE/CO. Salvo indicação em contrário, os resultados correspondem ao lucro esperado nos cinco cenários anuais de 2021 a 2025 (Seção 3.7.2), em valores de dezembro de 2025. A Seção 4.1 apresenta a decisão de contratação e a operação no caso de referência; a Seção 4.2, o valor da solução estocástica e da informação perfeita; a Seção 4.3, a curva de oferta no leilão; a Seção 4.4, o efeito do contrato de hidrogênio e da importação de energia; a Seção 4.5, o efeito da frequência do despacho do ONS; e a Seção 4.6 sintetiza os resultados.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 e a multa contratual por déficit de hidrogênio — tem caráter provisório, conforme discutido na Seção 3.5. Por isso, a ênfase deste capítulo recai sobre as relações entre as decisões e as hipóteses, e não sobre os valores absolutos de lucro.</w:t>
      </w:r>
    </w:p>
    <w:bookmarkStart w:id="12" w:name="Xc763bdadb72b745f00fe6e6dfcbaaef391fd65a"/>
    <w:p>
      <w:pPr>
        <w:pStyle w:val="Heading2"/>
      </w:pPr>
      <w:r>
        <w:t xml:space="preserve">4.1 Decisão de contratação no caso de referência</w:t>
      </w:r>
    </w:p>
    <w:p>
      <w:pPr>
        <w:pStyle w:val="FirstParagraph"/>
      </w:pPr>
      <w:r>
        <w:t xml:space="preserve">A Figura 4.1(a)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4.1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estocastico_unifei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 tolerância de convergência de 0,1%, o algoritmo de Benders identificou o ótimo em 53,4 MW, valor assinalado na Figura 4.1. Com a tolerância de 0,01% adotada no cálculo do VSS e do EVPI, o ótimo passou para 54,4 MW, com lucro esperado de R$ 68,12 milhões por ano — apenas R$ 20 mil acima do obtido com 53,4 MW.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seções seguintes.</w:t>
      </w:r>
    </w:p>
    <w:p>
      <w:pPr>
        <w:pStyle w:val="BodyText"/>
      </w:pPr>
      <w:r>
        <w:t xml:space="preserve">O lucro por cenário na potência ótima é apresentado na Tabela 4.1.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4.1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4.1(b):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Seção 4.4: com o hidrogênio vendido sem limite de volume a R$ 35/kg, cada MWh destinado ao eletrolisador vale cerca de R$ 609, e o MCP tem papel secundário na operação.</w:t>
      </w:r>
    </w:p>
    <w:bookmarkEnd w:id="12"/>
    <w:bookmarkStart w:id="13" w:name="X803239abd151ab68ada138485f7ac164ea0f3ed"/>
    <w:p>
      <w:pPr>
        <w:pStyle w:val="Heading2"/>
      </w:pPr>
      <w:r>
        <w:t xml:space="preserve">4.2 Valor da solução estocástica e valor esperado da informação perfeita</w:t>
      </w:r>
    </w:p>
    <w:p>
      <w:pPr>
        <w:pStyle w:val="FirstParagraph"/>
      </w:pPr>
      <w:r>
        <w:t xml:space="preserve">A Tabela 4.2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4.2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seções seguintes mostram que outras hipóteses, não representadas nos cenários, têm efeito muito maior.</w:t>
      </w:r>
    </w:p>
    <w:bookmarkEnd w:id="13"/>
    <w:bookmarkStart w:id="17" w:name="curva-de-oferta-no-leilão"/>
    <w:p>
      <w:pPr>
        <w:pStyle w:val="Heading2"/>
      </w:pPr>
      <w:r>
        <w:t xml:space="preserve">4.3 Curva de oferta no leilão</w:t>
      </w:r>
    </w:p>
    <w:p>
      <w:pPr>
        <w:pStyle w:val="FirstParagraph"/>
      </w:pPr>
      <w:r>
        <w:t xml:space="preserve">A Figura 4.2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4.2(b)).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4.2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as/curva_ofert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4.2(c)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seção seguinte.</w:t>
      </w:r>
    </w:p>
    <w:bookmarkEnd w:id="17"/>
    <w:bookmarkStart w:id="18" w:name="Xecdbf8e9b0c8cf7cf478028b36aa5fe92ae5811"/>
    <w:p>
      <w:pPr>
        <w:pStyle w:val="Heading2"/>
      </w:pPr>
      <w:r>
        <w:t xml:space="preserve">4.4 Contrato de hidrogênio e importação de energia</w:t>
      </w:r>
    </w:p>
    <w:p>
      <w:pPr>
        <w:pStyle w:val="FirstParagraph"/>
      </w:pPr>
      <w:r>
        <w:t xml:space="preserve">A Tabela 4.3 resume, para a receita fixa de referência, a potência ótima, o lucro e a operação média de cada caso.</w:t>
      </w:r>
    </w:p>
    <w:p>
      <w:pPr>
        <w:pStyle w:val="Legenda"/>
      </w:pPr>
      <w:r>
        <w:t xml:space="preserve">Tabela 4.3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18"/>
    <w:bookmarkStart w:id="22" w:name="frequência-do-despacho-do-ons"/>
    <w:p>
      <w:pPr>
        <w:pStyle w:val="Heading2"/>
      </w:pPr>
      <w:r>
        <w:t xml:space="preserve">4.5 Frequência do despacho do ONS</w:t>
      </w:r>
    </w:p>
    <w:p>
      <w:pPr>
        <w:pStyle w:val="FirstParagraph"/>
      </w:pPr>
      <w:r>
        <w:t xml:space="preserve">A Figura 4.3 e a Tabela 4.4 apresentam a curva de oferta do caso de referência para 50, 150 e 365 despachos por ano.</w:t>
      </w:r>
    </w:p>
    <w:p>
      <w:pPr>
        <w:pStyle w:val="Legenda"/>
      </w:pPr>
      <w:r>
        <w:t xml:space="preserve">Figura 4.3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as/curva_oferta_ciclo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4.4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4.3(b)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(3.41).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22"/>
    <w:bookmarkStart w:id="23" w:name="síntese"/>
    <w:p>
      <w:pPr>
        <w:pStyle w:val="Heading2"/>
      </w:pPr>
      <w:r>
        <w:t xml:space="preserve">4.6 Síntese</w:t>
      </w:r>
    </w:p>
    <w:p>
      <w:pPr>
        <w:pStyle w:val="FirstParagraph"/>
      </w:pPr>
      <w:r>
        <w:t xml:space="preserve">Os resultados permitem hierarquizar os fatores que determinam a decisão de contratação no LRCAP: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em todos os casos, e a receita mínima de entrada não ultrapassa R$ 100 mil/(MW·ano);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quantidade a ofertar acima de 40 MW depende do hidrogênio:</w:t>
      </w:r>
      <w:r>
        <w:t xml:space="preserve"> </w:t>
      </w:r>
      <w:r>
        <w:t xml:space="preserve">o custo de oportunidade do último MW varia de R$ 228 mil a R$ 1,75 milhão/(MW·ano) conforme a existência e o volume de um contrato de fornecimento, porque o módulo mercantil do BESS tem como principal função abastecer o eletrolisador fora do período solar;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incertezas de preço, de geração e de despacho têm efeito pequeno sobre a decisão:</w:t>
      </w:r>
      <w:r>
        <w:t xml:space="preserve"> </w:t>
      </w:r>
      <w:r>
        <w:t xml:space="preserve">a variação entre anos históricos resulta em VSS nulo e EVPI de 0,2% do lucro esperado, e a frequência do despacho do ONS desloca o custo de oportunidade de um valor constante, sem alterar a potência ótima.</w:t>
      </w:r>
    </w:p>
    <w:p>
      <w:pPr>
        <w:pStyle w:val="FirstParagraph"/>
      </w:pPr>
      <w:r>
        <w:t xml:space="preserve">Em conjunto, esses resultados sugerem que a decisão de contratação é determinada menos pelo comportamento do mercado de energia e mais pelas condições de comercialização do hidrogênio — volume, preço e critério de qualificação —, que são, portanto, as informações prioritárias para a definição do lance no leilão.</w:t>
      </w:r>
    </w:p>
    <w:bookmarkEnd w:id="23"/>
    <w:bookmarkEnd w:id="2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2026-10-03T16:53:06Z</dcterms:created>
  <dcterms:modified xsi:type="dcterms:W3CDTF">2026-10-03T16:53:06Z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