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 Ressalta-se que essa divisão é uma interpretação da norma: a Portaria exige que toda a potência contratada esteja disponível ao ONS e que a energia do sistema contratado seja liquidada em favor da CONCAP, e admite o compartilhamento da conexão, mas não trata expressamente da contratação de parte de uma instalação, com a parcela remanescente operada no mercado sob medição individualizada. A interpretação respeita as duas exigências — o módulo mercantil não recebe receita do leilão, e o módulo LRCAP não gera receita fora dele —, mas sua aceitação deve ser confirmada no edital e nos procedimentos do ONS e da CCEE. Se a divisão não for admitida, deixa de valer a curva de oferta escalonada de um BESS existente (Seção 3.8.1), mas não o lance mínimo de um BESS dimensionado para o contrato (Seção 3.8.3), que não tem módulo mercantil e não depende dessa hipótese.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 (hipótese; Seção 3.5)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 (uso da rede, encargos e tributos; Seção 3.8.4)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 (sensibilidade: 100 e 400)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limiar de emissões europeu para combustíveis renováveis de origem não biológica, de redução de 70% em relação ao comparador fóssil de 94 gCO₂eq/MJ (UNIÃO EUROPEIA, 2023b), e é avaliado como sensibilidade. Esse caso reproduz apenas o limiar de emissões, e não o critério europeu completo: para que a energia da rede seja contabilizada como renovável, o Regulamento Delegado (UE) 2023/1184 exige, além do limiar, contratos com instalações renováveis novas (adicionalidade) e correlação temporal e geográfica entre a produção renovável e o consumo do eletrolisador, salvo em zonas de mercado com mais de 90% de energia renovável ou com baixa intensidade de emissões (UNIÃO EUROPEIA, 2023a). Sem essas exigências, a energia importada da rede só tem a sua intensidade de emissões limitada.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p>
      <w:pPr>
        <w:pStyle w:val="BodyText"/>
      </w:pPr>
      <w:r>
        <w:rPr>
          <w:b/>
          <w:bCs/>
        </w:rPr>
        <w:t xml:space="preserve">Preço do hidrogênio.</w:t>
      </w:r>
      <w:r>
        <w:t xml:space="preserve"> </w:t>
      </w:r>
      <w:r>
        <w:t xml:space="preserve">Não há mercado de hidrogênio renovável consolidado no Brasil, nem preço de referência publicado. O preço de R$ 35/kg, cerca de US$ 6,5/kg pela PTAX de 09/12/2025, foi adotado como o de um comprador disposto a pagar pelo hidrogênio de origem renovável e situa-se acima das referências de custo: a Agência Internacional de Energia indicou custos de US$ 1 a 3/kg para o hidrogênio de origem fóssil e de US$ 3,0 a 7,5/kg para o de origem renovável (IEA, 2023), e estimativas para projetos brasileiros em localidades favoráveis indicam custos nivelados de US$ 2,9 a 3,6/kg (NOVACANA, 2023). O valor adotado corresponde, assim, ao extremo superior do custo do hidrogênio renovável e a cerca de duas vezes o custo estimado em projetos brasileiros de grande escala, e deve ser lido como hipótese otimista quanto à receita do hidrogênio. Por isso, o preço é tratado como parâmetro: o mapa de sensibilidade abrange preços de R$ 10 a R$ 45/kg, e o preço de equilíbrio que anularia o VPL é calculado para cada caso (Seção 3.8.2).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Como a condição cíclica também produz uma operação viável, adota-se, em cada cenário, o maior dos dois limites inferiores. Nessas avaliações, a recarga excedente do módulo LRCAP (Seção 3.4) é apurada no ano inteiro, como na liquidação da CONCAP, e não bloco a bloco.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 Como o PLD é apenas um indicador do custo de operação do sistema, avalia-se também um perfil alternativo, ligado à carga líquida do SIN (carga menos geração eólica e solar), obtida pela soma horária da geração hidrelétrica, térmica e nuclear dos dados de geração por usina do ONS (ONS, 2026): a descarga ocorre no bloco de 4 horas consecutivas de maior carga líquida após a janela de recarga, e a recarga, nas horas de menor carga líquida dessa janela (Seção 4.3.6).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p</m:t>
                    </m:r>
                    <m:r>
                      <m:t>i</m:t>
                    </m:r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BESS, no eletrolisador e no tanque de hidrogênio,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é o fator de juros durante a construção,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é o valor presente das trocas de pilhas do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</w:t>
      </w:r>
    </w:p>
    <w:p>
      <w:pPr>
        <w:pStyle w:val="BodyText"/>
      </w:pPr>
      <w:r>
        <w:t xml:space="preserve">O investimento é desembolsado uniformemente nos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anos de implantação anteriores à entrada em operação e capitalizado à taxa de desconto até essa data, com a convenção de meio de período: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isto é,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quando se desconsidera a implantação. Supõe-se, assim, que os custos de referência não incluem juros durante a construção, o que deve ser confirmado nos cadernos da EPE. As pilhas do eletrolisador são trocadas a cada</w:t>
      </w:r>
      <w:r>
        <w:t xml:space="preserve"> </w:t>
      </w:r>
      <m:oMath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horas equivalentes de operação na potência nominal, ao custo de uma fração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do investimento no eletrolisador: com fator de capacidade</w:t>
      </w:r>
      <w:r>
        <w:t xml:space="preserve"> </w:t>
      </w:r>
      <m:oMath>
        <m:r>
          <m:t>F</m:t>
        </m:r>
        <m:r>
          <m:t>C</m:t>
        </m:r>
      </m:oMath>
      <w:r>
        <w:t xml:space="preserve">, a</w:t>
      </w:r>
      <w:r>
        <w:t xml:space="preserve"> </w:t>
      </w:r>
      <m:oMath>
        <m:r>
          <m:t>j</m:t>
        </m:r>
      </m:oMath>
      <w:r>
        <w:t xml:space="preserve">-ésima troca ocorre no ano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j</m:t>
        </m:r>
        <m:r>
          <m:t> </m:t>
        </m:r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8.760</m:t>
        </m:r>
        <m:r>
          <m:t> </m:t>
        </m:r>
        <m:r>
          <m:t>F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:</m:t>
            </m:r>
            <m:r>
              <m:t> 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&lt;</m:t>
            </m:r>
            <m:r>
              <m:t>n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t>p</m:t>
                </m:r>
                <m:r>
                  <m:t>i</m:t>
                </m:r>
                <m:r>
                  <m:t>l</m:t>
                </m:r>
              </m:sup>
            </m:sSup>
          </m:e>
        </m:nary>
        <m:sSup>
          <m:e>
            <m:r>
              <m:t>I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; as trocas no último ano ou depois dele não são feitas, pois não há valor residual. Com o fator de capacidade do caso de referência, de 0,37, as 60 mil horas não são atingidas em 15 anos; com a importação de energia, que eleva o fator de capacidade a 0,92, há uma troca no oitavo ano. O compressor que leva o hidrogênio da pressão do eletrolisador à do tanque não foi incluído: sua energia, estimada pela compressão isotérmica de 30 para 160 bar com rendimento de 50%, é de cerca de 1,1 kWh/kg, 2% do consumo específico do eletrolisador.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 de hidrogênio</w:t>
            </w:r>
          </w:p>
        </w:tc>
        <w:tc>
          <w:tcPr/>
          <w:p>
            <w:pPr>
              <w:pStyle w:val="Compact"/>
            </w:pPr>
            <w:r>
              <w:t xml:space="preserve">US$ 700; 1.000; 1.100/kg armazenado</w:t>
            </w:r>
          </w:p>
        </w:tc>
        <w:tc>
          <w:tcPr/>
          <w:p>
            <w:pPr>
              <w:pStyle w:val="Compact"/>
            </w:pPr>
            <w:r>
              <w:t xml:space="preserve">Vasos estacionários a 160 bar: situação de 2010 (US$ 1.000/kg) e meta para 2020 (US$ 700/kg); a 430 bar, US$ 1.100/kg (FENG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, 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Troca de pilhas do eletrolisador</w:t>
            </w:r>
          </w:p>
        </w:tc>
        <w:tc>
          <w:tcPr/>
          <w:p>
            <w:pPr>
              <w:pStyle w:val="Compact"/>
            </w:pPr>
            <w:r>
              <w:t xml:space="preserve">40% do investimento no eletrolisador a cada 60.000 h equivalentes</w:t>
            </w:r>
          </w:p>
        </w:tc>
        <w:tc>
          <w:tcPr/>
          <w:p>
            <w:pPr>
              <w:pStyle w:val="Compact"/>
            </w:pPr>
            <w:r>
              <w:t xml:space="preserve">EPRI (2022): troca de 35% a 45% do investimento, vida de 60 a 80 mil 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implantação</w:t>
            </w:r>
          </w:p>
        </w:tc>
        <w:tc>
          <w:tcPr/>
          <w:p>
            <w:pPr>
              <w:pStyle w:val="Compact"/>
            </w:pPr>
            <w:r>
              <w:t xml:space="preserve">1 ano (sensibilidade: 0 e 2 anos), com juros durante a construção à taxa de desconto</w:t>
            </w:r>
          </w:p>
        </w:tc>
        <w:tc>
          <w:tcPr/>
          <w:p>
            <w:pPr>
              <w:pStyle w:val="Compact"/>
            </w:pPr>
            <w:r>
              <w:t xml:space="preserve">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r>
          <m:t>J</m:t>
        </m:r>
        <m:r>
          <m:t> 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com os juros durante a construção,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O uso dessa folga para o consumo auxiliar é uma interpretação: a Portaria custeia a recarga com base no rendimento de referência, mas não trata expressamente do consumo auxiliar medido no ponto de medição do módulo. Por isso, avalia-se também o caso em que todo o consumo auxiliar é pago ao PLD (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).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 </m:t>
                        </m:r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 com os juros durante a construção,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de R$ 100 ou 400/MWh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representa, de forma agregada, o que um consumidor conectado à rede paga além da energia: o uso da rede na parcela de consumo — a TUST de consumo de R$ 15,23/kW·mês corresponde a cerca de R$ 21/MWh com o eletrolisador a plena carga, e a mais com fator de capacidade menor —, os encargos setoriais — a Conta de Desenvolvimento Energético (CDE), cuja quota anual de uso, de R$ 41,4 bilhões em 2025 (ANEEL, 2025), corresponde a algumas dezenas de reais por MWh consumido, menos em alta tensão, o Proinfa e os encargos de serviços do sistema e de energia de reserva — e os tributos não recuperáveis sobre a energia comprada, como o ICMS quando não creditado. Esses componentes dependem do nível de tensão, da concessionária, do enquadramento do consumidor — por exemplo, como autoprodutor por equiparação — e de benefícios à produção de hidrogênio ainda em regulamentação (BRASIL, 2024). O valor de R$ 250/MWh é, por isso, uma hipótese do autor, situada na faixa superior desses custos, e o caso de importação livre é avaliado também com R$ 100 e R$ 400/MWh.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O viés não é uniforme: ele recai sobretudo sobre o módulo mercantil, cuja arbitragem e cujo suprimento noturno do eletrolisador dependem de conhecer os preços e a irradiância das horas seguintes, enquanto a receita fixa do módulo LRCAP não depende de previsão. Superestima-se, portanto, o custo de oportunidade de contratar a potência no leilão, e a potência ótima de um BESS existente tende a ser subestimada, isto é, um operador real ofertaria ao menos a potência indicada pela curva de oferta. No lance mínimo de um BESS a construir, o módulo mercantil é nulo e a operação do lado mercantil coincide nas alternativas com e sem BESS, de modo que o viés praticamente se cancela; no VPL do empreendimento, ele torna o resultado otimista, o que reforça a conclusão de inviabilidade. O tamanho desse viés é medido no Capítulo 4 por uma operação em horizonte rolante de 48 h, com o PLD conhecido na véspera e a geração FV prevista por persistência: em 2025, a perda é de no máximo 0,54% do lucro operacional (Subseção 4.3.2).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do BESS em módulos:</w:t>
      </w:r>
      <w:r>
        <w:t xml:space="preserve"> </w:t>
      </w:r>
      <w:r>
        <w:t xml:space="preserve">a contratação de parte da instalação, com o restante operado no mercado sob medição individualizada, é uma interpretação da Portaria a confirmar no edital (Seção 3.2); sem ela, vale apenas o BESS dimensionado para o contrato. Além disso, 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com prazo de implantação de um ano e juros durante a construção à própria taxa de desconto, sem financiamento, sem benefícios fiscais e sem valor residual; o O&amp;M fixo da FV e do eletrolisador é hipotético, o compressor do hidrogênio não está incluído, o custo do tanque refere-se a metas e estimativas do DOE para vasos estacionários, e não a cotações,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fora da amostra é feita apenas pela retirada de um ano de cada vez (Subseção 4.3.2); as séries repetem o passado e não representam a evolução dos preços ao longo dos 15 anos do contrato. O PLD horário só existe desde janeiro de 2021, de modo que os cinco anos constituem toda a série horária disponível;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calendário:</w:t>
      </w:r>
      <w:r>
        <w:t xml:space="preserve"> </w:t>
      </w:r>
      <w:r>
        <w:t xml:space="preserve">o ano bissexto de 2024 é operado em 366 dias, mas a receita fixa corresponde a um ano, o que eleva o lucro operacional desse cenário em cerca de um dia de operação, R$ 0,1 milhão, e o lucro esperado em cerca de 0,03%; como o dia adicional está presente com e sem o BESS, o efeito sobre o lance mínimo é desprezível. Como o ano não é múltiplo de sete dias, o último bloco da decomposição tem 8 dias (9 em 2024), e a janela de apuração das emissões desse bloco é de 192 ou 216 horas, em vez de 168.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 Resolução Homologatória nº 3.484, de 15 de julho de 2025. Aprova o orçamento anual da Conta de Desenvolvimento Energético (CDE) para 2025 e fixa as quotas anuais de CDE-USO e CDE-GD. Brasília: ANEEL, 2025.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ENERGY-STORAGE.NEWS.</w:t>
      </w:r>
      <w:r>
        <w:t xml:space="preserve"> </w:t>
      </w:r>
      <w:r>
        <w:rPr>
          <w:b/>
          <w:bCs/>
        </w:rPr>
        <w:t xml:space="preserve">Battery storage system prices continue to fall sharply, BNEF and Ember reports find</w:t>
      </w:r>
      <w:r>
        <w:t xml:space="preserve">. Londres: Solar Media, dez. 2025. Disponível em: https://www.energy-storage.news. Acesso em: 20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EPRI.</w:t>
      </w:r>
      <w:r>
        <w:t xml:space="preserve"> </w:t>
      </w:r>
      <w:r>
        <w:rPr>
          <w:b/>
          <w:bCs/>
        </w:rPr>
        <w:t xml:space="preserve">Technology brief: water electrolyzer stack degradation</w:t>
      </w:r>
      <w:r>
        <w:t xml:space="preserve">. Palo Alto: Electric Power Research Institute, ago. 2022. Produto 3002025148. Disponível em: https://restservice.epri.com/publicdownload/000000003002025148/0/Product. Acesso em: 15 out. 2026.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FENG,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Steel concrete composite vessel for 875 bar stationary hydrogen storage</w:t>
      </w:r>
      <w:r>
        <w:t xml:space="preserve">. Apresentação no Annual Merit Review do Hydrogen and Fuel Cells Program. Washington, DC: U.S. Department of Energy, 2014. Disponível em: https://www.hydrogen.energy.gov/docs/hydrogenprogramlibraries/pdfs/review14/pd088_feng_2014_o.pdf. Acesso em: 15 out. 2026.</w:t>
      </w:r>
    </w:p>
    <w:p>
      <w:pPr>
        <w:pStyle w:val="Referencia"/>
      </w:pPr>
      <w:r>
        <w:t xml:space="preserve">GARCÍA-MIGUEL, P. L. C.; ZARILLI, D.; ALONSO-MARTINEZ, J.; GARCÍA PLAZA, M.; ARNALTES GÓMEZ, S. Optimal operation and market integration of a hybrid farm with green hydrogen and energy storage: a stochastic approach considering wind and electricity price uncertainties.</w:t>
      </w:r>
      <w:r>
        <w:t xml:space="preserve"> </w:t>
      </w:r>
      <w:r>
        <w:rPr>
          <w:b/>
          <w:bCs/>
        </w:rPr>
        <w:t xml:space="preserve">Sustainability</w:t>
      </w:r>
      <w:r>
        <w:t xml:space="preserve">, v. 16, n. 7, 2856, 2024.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2023</w:t>
      </w:r>
      <w:r>
        <w:t xml:space="preserve">. Paris: IEA, set. 2023.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NOVACANA.</w:t>
      </w:r>
      <w:r>
        <w:t xml:space="preserve"> </w:t>
      </w:r>
      <w:r>
        <w:rPr>
          <w:b/>
          <w:bCs/>
        </w:rPr>
        <w:t xml:space="preserve">Custo de produzir hidrogênio verde no Brasil pode cair 51% com incentivos, diz Cela</w:t>
      </w:r>
      <w:r>
        <w:t xml:space="preserve">. 1 set. 2023. Disponível em: https://www.novacana.com/noticias/custo-produzir-hidrogenio-verde-brasil-cair-51-incentivos-cela-010923. Acesso em: 20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2023/1184 da Comissão, de 10 de fevereiro de 2023, que completa a Diretiva (UE) 2018/2001 do Parlamento Europeu e do Conselho mediante o estabelecimento de uma metodologia da União que defina regras pormenorizadas para a produção de combustíveis líquidos e gasosos renováveis de origem não biológica para os transportes.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2023a.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2023b.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2026-10-20T15:32:22Z</dcterms:created>
  <dcterms:modified xsi:type="dcterms:W3CDTF">2026-10-20T15:32:22Z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