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2.png" ContentType="image/png"/>
  <Override PartName="/word/media/rId41.png" ContentType="image/png"/>
  <Override PartName="/word/media/rId45.png" ContentType="image/png"/>
  <Override PartName="/word/media/rId48.png" ContentType="image/png"/>
  <Override PartName="/word/media/rId37.png" ContentType="image/png"/>
  <Override PartName="/word/media/rId17.png" ContentType="image/png"/>
  <Override PartName="/word/media/rId27.png" ContentType="image/png"/>
  <Override PartName="/word/media/rId21.png" ContentType="image/png"/>
  <Override PartName="/word/media/rId55.png" ContentType="image/png"/>
  <Override PartName="/word/media/rId5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tentativa de solução direta do MILP anual, interrompida após 15 minutos sem solução (Seção 3.6.1); a comparação sistemática com o MILP monolítico é apresentada adiante (Tabela 4.2).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Comparação com o MILP monolítico.</w:t>
      </w:r>
      <w:r>
        <w:t xml:space="preserve"> </w:t>
      </w:r>
      <w:r>
        <w:t xml:space="preserve">Para verificar o método diretamente, o problema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livre foi resolvido também como um único MILP, sem decomposição, em horizontes de 28 a 365 dias do cenário de 2025, com as mesmas condições de contorno nas pontas do horizonte e a mesma tolerância (0,01%), e comparado com o Benders em blocos semanais com condição cíclica (Tabela 4.2). O MILP monolítico dá o ótimo exato do horizonte; o Benders, o ótimo do problema com as condições cíclicas semanais, que é uma restrição do primeiro.</w:t>
      </w:r>
    </w:p>
    <w:p>
      <w:pPr>
        <w:pStyle w:val="Legenda"/>
      </w:pPr>
      <w:r>
        <w:t xml:space="preserve">Tabela 4.2 – Benders em blocos semanais e MILP monolítico no cenário de 2025 (HiGHS, quatro núcleos; lucro inclui a receita fixa rateada)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e horizonte</w:t>
            </w:r>
          </w:p>
        </w:tc>
        <w:tc>
          <w:tcPr/>
          <w:p>
            <w:pPr>
              <w:pStyle w:val="Compact"/>
            </w:pPr>
            <w:r>
              <w:t xml:space="preserve">Monolítico: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Monolítico: lucro (R$ mi)</w:t>
            </w:r>
          </w:p>
        </w:tc>
        <w:tc>
          <w:tcPr/>
          <w:p>
            <w:pPr>
              <w:pStyle w:val="Compact"/>
            </w:pPr>
            <w:r>
              <w:t xml:space="preserve">Monolítico: tempo</w:t>
            </w:r>
          </w:p>
        </w:tc>
        <w:tc>
          <w:tcPr/>
          <w:p>
            <w:pPr>
              <w:pStyle w:val="Compact"/>
            </w:pPr>
            <w:r>
              <w:t xml:space="preserve">Benders: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Benders: lucro (R$ mi)</w:t>
            </w:r>
          </w:p>
        </w:tc>
        <w:tc>
          <w:tcPr/>
          <w:p>
            <w:pPr>
              <w:pStyle w:val="Compact"/>
            </w:pPr>
            <w:r>
              <w:t xml:space="preserve">Benders: tempo</w:t>
            </w:r>
          </w:p>
        </w:tc>
        <w:tc>
          <w:tcPr/>
          <w:p>
            <w:pPr>
              <w:pStyle w:val="Compact"/>
            </w:pPr>
            <w:r>
              <w:t xml:space="preserve">Diferença no lucro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(jan.)</w:t>
            </w:r>
          </w:p>
        </w:tc>
        <w:tc>
          <w:tcPr/>
          <w:p>
            <w:pPr>
              <w:pStyle w:val="Compact"/>
            </w:pPr>
            <w:r>
              <w:t xml:space="preserve">55,04</w:t>
            </w:r>
          </w:p>
        </w:tc>
        <w:tc>
          <w:tcPr/>
          <w:p>
            <w:pPr>
              <w:pStyle w:val="Compact"/>
            </w:pPr>
            <w:r>
              <w:t xml:space="preserve">4,8912</w:t>
            </w:r>
          </w:p>
        </w:tc>
        <w:tc>
          <w:tcPr/>
          <w:p>
            <w:pPr>
              <w:pStyle w:val="Compact"/>
            </w:pPr>
            <w:r>
              <w:t xml:space="preserve">38 s</w:t>
            </w:r>
          </w:p>
        </w:tc>
        <w:tc>
          <w:tcPr/>
          <w:p>
            <w:pPr>
              <w:pStyle w:val="Compact"/>
            </w:pPr>
            <w:r>
              <w:t xml:space="preserve">55,17</w:t>
            </w:r>
          </w:p>
        </w:tc>
        <w:tc>
          <w:tcPr/>
          <w:p>
            <w:pPr>
              <w:pStyle w:val="Compact"/>
            </w:pPr>
            <w:r>
              <w:t xml:space="preserve">4,8913</w:t>
            </w:r>
          </w:p>
        </w:tc>
        <w:tc>
          <w:tcPr/>
          <w:p>
            <w:pPr>
              <w:pStyle w:val="Compact"/>
            </w:pPr>
            <w:r>
              <w:t xml:space="preserve">46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28 dias (jul.)</w:t>
            </w:r>
          </w:p>
        </w:tc>
        <w:tc>
          <w:tcPr/>
          <w:p>
            <w:pPr>
              <w:pStyle w:val="Compact"/>
            </w:pPr>
            <w:r>
              <w:t xml:space="preserve">51,54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8 s</w:t>
            </w:r>
          </w:p>
        </w:tc>
        <w:tc>
          <w:tcPr/>
          <w:p>
            <w:pPr>
              <w:pStyle w:val="Compact"/>
            </w:pPr>
            <w:r>
              <w:t xml:space="preserve">51,53</w:t>
            </w:r>
          </w:p>
        </w:tc>
        <w:tc>
          <w:tcPr/>
          <w:p>
            <w:pPr>
              <w:pStyle w:val="Compact"/>
            </w:pPr>
            <w:r>
              <w:t xml:space="preserve">5,1252</w:t>
            </w:r>
          </w:p>
        </w:tc>
        <w:tc>
          <w:tcPr/>
          <w:p>
            <w:pPr>
              <w:pStyle w:val="Compact"/>
            </w:pPr>
            <w:r>
              <w:t xml:space="preserve">48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(jan.)</w:t>
            </w:r>
          </w:p>
        </w:tc>
        <w:tc>
          <w:tcPr/>
          <w:p>
            <w:pPr>
              <w:pStyle w:val="Compact"/>
            </w:pPr>
            <w:r>
              <w:t xml:space="preserve">54,83</w:t>
            </w:r>
          </w:p>
        </w:tc>
        <w:tc>
          <w:tcPr/>
          <w:p>
            <w:pPr>
              <w:pStyle w:val="Compact"/>
            </w:pPr>
            <w:r>
              <w:t xml:space="preserve">4,6507</w:t>
            </w:r>
          </w:p>
        </w:tc>
        <w:tc>
          <w:tcPr/>
          <w:p>
            <w:pPr>
              <w:pStyle w:val="Compact"/>
            </w:pPr>
            <w:r>
              <w:t xml:space="preserve">37 s</w:t>
            </w:r>
          </w:p>
        </w:tc>
        <w:tc>
          <w:tcPr/>
          <w:p>
            <w:pPr>
              <w:pStyle w:val="Compact"/>
            </w:pPr>
            <w:r>
              <w:t xml:space="preserve">55,37</w:t>
            </w:r>
          </w:p>
        </w:tc>
        <w:tc>
          <w:tcPr/>
          <w:p>
            <w:pPr>
              <w:pStyle w:val="Compact"/>
            </w:pPr>
            <w:r>
              <w:t xml:space="preserve">4,5478</w:t>
            </w:r>
          </w:p>
        </w:tc>
        <w:tc>
          <w:tcPr/>
          <w:p>
            <w:pPr>
              <w:pStyle w:val="Compact"/>
            </w:pPr>
            <w:r>
              <w:t xml:space="preserve">103 s</w:t>
            </w:r>
          </w:p>
        </w:tc>
        <w:tc>
          <w:tcPr/>
          <w:p>
            <w:pPr>
              <w:pStyle w:val="Compact"/>
            </w:pPr>
            <w:r>
              <w:t xml:space="preserve">−2,2%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28 dias (jul.)</w:t>
            </w:r>
          </w:p>
        </w:tc>
        <w:tc>
          <w:tcPr/>
          <w:p>
            <w:pPr>
              <w:pStyle w:val="Compact"/>
            </w:pPr>
            <w:r>
              <w:t xml:space="preserve">53,53</w:t>
            </w:r>
          </w:p>
        </w:tc>
        <w:tc>
          <w:tcPr/>
          <w:p>
            <w:pPr>
              <w:pStyle w:val="Compact"/>
            </w:pPr>
            <w:r>
              <w:t xml:space="preserve">4,9891</w:t>
            </w:r>
          </w:p>
        </w:tc>
        <w:tc>
          <w:tcPr/>
          <w:p>
            <w:pPr>
              <w:pStyle w:val="Compact"/>
            </w:pPr>
            <w:r>
              <w:t xml:space="preserve">22 s</w:t>
            </w:r>
          </w:p>
        </w:tc>
        <w:tc>
          <w:tcPr/>
          <w:p>
            <w:pPr>
              <w:pStyle w:val="Compact"/>
            </w:pPr>
            <w:r>
              <w:t xml:space="preserve">53,76</w:t>
            </w:r>
          </w:p>
        </w:tc>
        <w:tc>
          <w:tcPr/>
          <w:p>
            <w:pPr>
              <w:pStyle w:val="Compact"/>
            </w:pPr>
            <w:r>
              <w:t xml:space="preserve">4,9664</w:t>
            </w:r>
          </w:p>
        </w:tc>
        <w:tc>
          <w:tcPr/>
          <w:p>
            <w:pPr>
              <w:pStyle w:val="Compact"/>
            </w:pPr>
            <w:r>
              <w:t xml:space="preserve">85 s</w:t>
            </w:r>
          </w:p>
        </w:tc>
        <w:tc>
          <w:tcPr/>
          <w:p>
            <w:pPr>
              <w:pStyle w:val="Compact"/>
            </w:pPr>
            <w:r>
              <w:t xml:space="preserve">−0,46%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91 dias</w:t>
            </w:r>
          </w:p>
        </w:tc>
        <w:tc>
          <w:tcPr/>
          <w:p>
            <w:pPr>
              <w:pStyle w:val="Compact"/>
            </w:pPr>
            <w:r>
              <w:t xml:space="preserve">55,08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21 min</w:t>
            </w:r>
          </w:p>
        </w:tc>
        <w:tc>
          <w:tcPr/>
          <w:p>
            <w:pPr>
              <w:pStyle w:val="Compact"/>
            </w:pPr>
            <w:r>
              <w:t xml:space="preserve">55,05</w:t>
            </w:r>
          </w:p>
        </w:tc>
        <w:tc>
          <w:tcPr/>
          <w:p>
            <w:pPr>
              <w:pStyle w:val="Compact"/>
            </w:pPr>
            <w:r>
              <w:t xml:space="preserve">16,927</w:t>
            </w:r>
          </w:p>
        </w:tc>
        <w:tc>
          <w:tcPr/>
          <w:p>
            <w:pPr>
              <w:pStyle w:val="Compact"/>
            </w:pPr>
            <w:r>
              <w:t xml:space="preserve">83 s</w:t>
            </w:r>
          </w:p>
        </w:tc>
        <w:tc>
          <w:tcPr/>
          <w:p>
            <w:pPr>
              <w:pStyle w:val="Compact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182 dias</w:t>
            </w:r>
          </w:p>
        </w:tc>
        <w:tc>
          <w:tcPr/>
          <w:p>
            <w:pPr>
              <w:pStyle w:val="Compact"/>
            </w:pPr>
            <w:r>
              <w:t xml:space="preserve">54,39*</w:t>
            </w:r>
          </w:p>
        </w:tc>
        <w:tc>
          <w:tcPr/>
          <w:p>
            <w:pPr>
              <w:pStyle w:val="Compact"/>
            </w:pPr>
            <w:r>
              <w:t xml:space="preserve">33,447*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54,64</w:t>
            </w:r>
          </w:p>
        </w:tc>
        <w:tc>
          <w:tcPr/>
          <w:p>
            <w:pPr>
              <w:pStyle w:val="Compact"/>
            </w:pPr>
            <w:r>
              <w:t xml:space="preserve">33,466</w:t>
            </w:r>
          </w:p>
        </w:tc>
        <w:tc>
          <w:tcPr/>
          <w:p>
            <w:pPr>
              <w:pStyle w:val="Compact"/>
            </w:pPr>
            <w:r>
              <w:t xml:space="preserve">137 s</w:t>
            </w:r>
          </w:p>
        </w:tc>
        <w:tc>
          <w:tcPr/>
          <w:p>
            <w:pPr>
              <w:pStyle w:val="Compact"/>
            </w:pPr>
            <w:r>
              <w:t xml:space="preserve">+0,06%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contrato, 365 dias</w:t>
            </w:r>
          </w:p>
        </w:tc>
        <w:tc>
          <w:tcPr/>
          <w:p>
            <w:pPr>
              <w:pStyle w:val="Compact"/>
            </w:pPr>
            <w:r>
              <w:t xml:space="preserve">53,24*</w:t>
            </w:r>
          </w:p>
        </w:tc>
        <w:tc>
          <w:tcPr/>
          <w:p>
            <w:pPr>
              <w:pStyle w:val="Compact"/>
            </w:pPr>
            <w:r>
              <w:t xml:space="preserve">67,723*</w:t>
            </w:r>
          </w:p>
        </w:tc>
        <w:tc>
          <w:tcPr/>
          <w:p>
            <w:pPr>
              <w:pStyle w:val="Compact"/>
            </w:pPr>
            <w:r>
              <w:t xml:space="preserve">30 min*</w:t>
            </w:r>
          </w:p>
        </w:tc>
        <w:tc>
          <w:tcPr/>
          <w:p>
            <w:pPr>
              <w:pStyle w:val="Compact"/>
            </w:pPr>
            <w:r>
              <w:t xml:space="preserve">54,62</w:t>
            </w:r>
          </w:p>
        </w:tc>
        <w:tc>
          <w:tcPr/>
          <w:p>
            <w:pPr>
              <w:pStyle w:val="Compact"/>
            </w:pPr>
            <w:r>
              <w:t xml:space="preserve">67,774</w:t>
            </w:r>
          </w:p>
        </w:tc>
        <w:tc>
          <w:tcPr/>
          <w:p>
            <w:pPr>
              <w:pStyle w:val="Compact"/>
            </w:pPr>
            <w:r>
              <w:t xml:space="preserve">266 s</w:t>
            </w:r>
          </w:p>
        </w:tc>
        <w:tc>
          <w:tcPr/>
          <w:p>
            <w:pPr>
              <w:pStyle w:val="Compact"/>
            </w:pPr>
            <w:r>
              <w:t xml:space="preserve">+0,08%</w:t>
            </w:r>
          </w:p>
        </w:tc>
      </w:tr>
    </w:tbl>
    <w:p>
      <w:pPr>
        <w:pStyle w:val="Fonte"/>
      </w:pPr>
      <w:r>
        <w:t xml:space="preserve">Fonte: elaborado pelo autor. * Interrompido no limite de 30 minutos,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0,07% (182 dias) e 0,09% (365 dias) em relação ao limite superior do próprio MILP; nos demais casos, o MILP monolítico foi resolvido até a tolerância.</w:t>
      </w:r>
    </w:p>
    <w:p>
      <w:pPr>
        <w:pStyle w:val="BodyText"/>
      </w:pPr>
      <w:r>
        <w:t xml:space="preserve">Sem contrato de hidrogênio, os dois métodos chegam ao mesmo lucro, a menos da tolerância, e a potências que diferem em no máximo 0,13 MW, dentro da região plana do ótimo. O tempo do MILP monolítico, porém, cresce muito mais rápido que o horizonte: 38 s para 28 dias, 21 minutos para 91 dias, e, com 182 e 365 dias,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não atinge a tolerância em 30 minutos e entrega soluções piores que as do Benders (53,2 MW e R$ 67,72 milhões no ano, contra 54,6 MW e R$ 67,77 milhões em 4,4 minutos). O limite superior do MILP anual (R$ 67,787 milhões) certifica que a solução do Benders está a menos de 0,02% do ótimo exato do ano. Com contrato de 3 t/dia, a condição cíclica semanal custa 0,5% a 2,2% do lucro do mês, coerente com a diferença entre as fronteiras discutida acima, e a potência ótima difere em até 0,5 MW; por isso, nas avaliações com potência fixa, a fronteira dos blocos é tomada da relaxação linear do ano. Com um bloco só, em contrapartida, o Benders não traz vantagem: em uma semana isolada, a função valor não côncava impede o fechamento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(0,38%), e, em 28 dias, o MILP lagrangiano do corte reforçado não foi resolvido em duas horas, contra 38 s do MILP monolítico. A vantagem do método vem, portanto, da divisão do ano em muitos blocos pequenos e independentes, que mantém cada MILP pequeno e permite resolvê-los em paralelo.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4.3 compara as curvas de oferta resultantes com a dos blocos semanais.</w:t>
      </w:r>
    </w:p>
    <w:p>
      <w:pPr>
        <w:pStyle w:val="Legenda"/>
      </w:pPr>
      <w:r>
        <w:t xml:space="preserve">Tabela 4.3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6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4.4 e na Figura 4.2.</w:t>
      </w:r>
    </w:p>
    <w:p>
      <w:pPr>
        <w:pStyle w:val="Legenda"/>
      </w:pPr>
      <w:r>
        <w:t xml:space="preserve">Tabela 4.4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4.5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4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4.6.</w:t>
      </w:r>
    </w:p>
    <w:p>
      <w:pPr>
        <w:pStyle w:val="Legenda"/>
      </w:pPr>
      <w:r>
        <w:t xml:space="preserve">Tabela 4.6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Reposição explícita de módulos somada ao O&amp;M (1 ciclo/dia)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de 2 ciclos/dia (reposição acima da de 1 ciclo/dia)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O modelo supõe capacidade de energia constante nos 15 anos, mantida pela reposição de módulos incluída no O&amp;M fixo do BESS. Para verificar essa hipótese, a reposição foi modelada explicitamente (Seção 3.5): a capacidade cai por ciclagem, 20% ao longo de 5.000 ciclos completos (faixa de 4.000 a 6.000), e por calendário, 1% ao ano (faixa de 0,5% a 2%), e são comprados módulos, ao preço da parcela do investimento que escala com a energia (R$ 825/kWh), sempre que a capacidade cairia abaixo da necessária para entregar 4 h na potência do BESS (280,7 MWh para 60 MW). Com um despacho por dia, o BESS de referência (300 MWh) faz 342 ciclos equivalentes por ano e repõe 86 MWh em 15 anos, a partir do segundo ano; o custo anual equivalente é de R$ 4,3 milhões, 46% do O&amp;M fixo do BESS (32% a 73% nas faixas de vida e de calendário). No BESS dimensionado para o contrato (288 MWh), cuja folga inicial é de apenas 2,6%, a reposição começa no primeiro ano e custa 60% do O&amp;M. O O&amp;M de referência comporta, portanto, a reposição com um ciclo por dia, e somá-la ao O&amp;M, o que contaria a reposição duas vezes, elevaria o lance em no máximo 6%. Com dois despachos por dia, o máximo admitido pela Portaria, a reposição passa a 85% do O&amp;M do BESS de referência (71% a 113%) e a 102% no dimensionado, e já não caberia no O&amp;M; cobrando apenas a reposição acima da de um ciclo diário, o lance sobe 5%. A frequência do despacho, irrelevante para a operação (Seção 4.3.6), afeta assim o lance por meio do desgaste, e convém que o proponente a considere ao precificar o risco de um uso mais intenso que o diário.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p>
      <w:pPr>
        <w:pStyle w:val="BodyText"/>
      </w:pPr>
      <w:r>
        <w:t xml:space="preserve">A análise de um parâmetro por vez não diz quão provável é cada valor do lance, e várias das premissas de maior efeito são regras ainda não confirmadas. Para levar essa incerteza ao resultado, as premissas de custo e de regra foram sorteadas por Monte Carlo, de forma independente, em 5.000 amostras: o investimento de referência (triangular entre R$ 5.000 e R$ 6.000/kW, moda em R$ 5.500), a parcela de energia (uniforme entre 45% e 75%), a taxa de desconto (triangular entre 8% e 14%, moda em 12,1%), o O&amp;M do BESS (uniforme entre 1,5% e 3,5%), a TUST (triangular na faixa regional), o consumo auxiliar (uniforme entre 0 e 2%), a disponibilidade (uniforme entre 97% e 100%) e o prazo de implantação (0, 1 ou 2 anos, com probabilidades de 25%, 50% e 25%). As regras não confirmadas foram tratadas como eventos binários, com probabilidades que são hipóteses do autor: referência da EPE para 3 h (50%), cobrança dupla da TUST (50%), consumo auxiliar fora da folga da CONCAP (50%), PIS/Cofins não cumulativo (25%), receita sem reajuste pelo IPCA (10%) e despacho de dois ciclos por dia (20%). A Figura 4.4 apresenta a distribuição resultante para o BESS dimensionado para o contrato, com 60 MW e 288 MWh.</w:t>
      </w:r>
    </w:p>
    <w:p>
      <w:pPr>
        <w:pStyle w:val="Legenda"/>
      </w:pPr>
      <w:r>
        <w:t xml:space="preserve">Figura 4.4 – Monte Carlo das premissas de custo e de regra: (a) distribuição do lance mínimo do BESS dimensionado para o contrato; (b) fração da variância do lance explicada por cada premissa isoladamente</w:t>
      </w:r>
    </w:p>
    <w:p>
      <w:pPr>
        <w:pStyle w:val="Figura"/>
      </w:pPr>
      <w:r>
        <w:drawing>
          <wp:inline>
            <wp:extent cx="5334000" cy="196947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lance_monte_carl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9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tem mediana de R$ 1,44 milhão/(MW·ano) e intervalo de 80% (P10 a P90) de R$ 1,17 milhão a R$ 1,78 milhão; com o BESS de referência, de R$ 1,48 milhão (P10 a P90 de R$ 1,20 milhão a R$ 1,82 milhão). O valor determinístico das premissas centrais (R$ 1,18 milhão para o BESS dimensionado de 60 MW e R$ 1,21 milhão para o de referência) fica próximo do percentil 10: só 11% das amostras ficam abaixo dele, porque as regras não confirmadas só podem elevar o lance. Nenhuma amostra fica abaixo do preço das termelétricas existentes no LRCAP de 2026 (R$ 831 mil), e praticamente todas (99,9%) ficam abaixo do preço das termelétricas e hidrelétricas do leilão anterior (R$ 2,33 milhões). Três premissas explicam a maior parte da variância: a duração de referência do custo da EPE (30%), o reajuste da receita pelo IPCA (22%) e a cobrança dupla da TUST (17%), seguidas pela taxa de desconto (12%); o investimento de referência na faixa da EPE, o O&amp;M, a TUST regional, o consumo auxiliar e a disponibilidade explicam, cada um, menos de 5%. Confirmadas as três regras no sentido das premissas centrais (referência de 4 h, sem cobrança dupla e com reajuste), a mediana cai para R$ 1,20 milhão e o intervalo de 80% para R$ 1,06 milhão a R$ 1,33 milhão. O resultado reforça que a incerteza relevante para o lance é documental e regulatória, e não de preço ou de geração: três verificações nos documentos originais estreitariam o intervalo do lance à metade. As probabilidades atribuídas às regras são subjetivas, e o resultado deve ser lido como ilustração dessa sensibilidade, não como previsão.</w:t>
      </w:r>
    </w:p>
    <w:bookmarkEnd w:id="24"/>
    <w:bookmarkStart w:id="25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4.7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4.7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5"/>
    <w:bookmarkEnd w:id="26"/>
    <w:bookmarkStart w:id="59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4.8.</w:t>
      </w:r>
    </w:p>
    <w:p>
      <w:pPr>
        <w:pStyle w:val="Legenda"/>
      </w:pPr>
      <w:r>
        <w:t xml:space="preserve">Tabela 4.8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30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4.5(a)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4.5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estocastico_unife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4.5,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4.9.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4.9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4.10):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4.5(b):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30"/>
    <w:bookmarkStart w:id="31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4.10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4.10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4.6(b),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31"/>
    <w:bookmarkStart w:id="35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4.6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4.6(b)).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4.6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as/curva_ofert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4.6(c)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4.6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5"/>
    <w:bookmarkStart w:id="36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4.11 resume, para a receita fixa de referência, a potência ótima, o lucro e a operação média de cada caso.</w:t>
      </w:r>
    </w:p>
    <w:p>
      <w:pPr>
        <w:pStyle w:val="Legenda"/>
      </w:pPr>
      <w:r>
        <w:t xml:space="preserve">Tabela 4.11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4.4).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6"/>
    <w:bookmarkStart w:id="40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4.7 e a Tabela 4.12 comparam esses casos com o caso de referência, em que a importação é vedada, e com o de importação livre.</w:t>
      </w:r>
    </w:p>
    <w:p>
      <w:pPr>
        <w:pStyle w:val="Legenda"/>
      </w:pPr>
      <w:r>
        <w:t xml:space="preserve">Figura 4.7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emissoe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4.4):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40"/>
    <w:bookmarkStart w:id="44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4.8 e a Tabela 4.13 apresentam a curva de oferta do caso de referência para 50, 150 e 365 despachos por ano.</w:t>
      </w:r>
    </w:p>
    <w:p>
      <w:pPr>
        <w:pStyle w:val="Legenda"/>
      </w:pPr>
      <w:r>
        <w:t xml:space="preserve">Figura 4.8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curva_oferta_ciclo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4.8(b)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4.6)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p>
      <w:pPr>
        <w:pStyle w:val="BodyText"/>
      </w:pPr>
      <w:r>
        <w:t xml:space="preserve">Os cenários supõem também que os preços de 2021 a 2025 se repetem ao longo do contrato, mas o próprio LRCAP deve contratar armazenamento que descarrega na ponta e tende a achatar o perfil diário do PLD. Para representar esse efeito, o PLD de cada hora foi aproximado da média do seu dia,</w:t>
      </w:r>
      <w:r>
        <w:t xml:space="preserve"> </w:t>
      </w:r>
      <m:oMath>
        <m:sSubSup>
          <m:e>
            <m:r>
              <m:t>λ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, com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= 25% e 50%, o que preserva a média diária e a ordem das horas (e, portanto, o perfil do ONS) e reduz a amplitude diária média de R$ 161/MWh para R$ 121/MWh e R$ 80/MWh no cenário de 2025. O efeito é pequeno: o lucro operacional sem o leilão cai 0,2% e 0,3% (de R$ 45,03 milhões para R$ 44,95 milhões e R$ 44,89 milhões por ano), a perda de lucro com 60 MW contratados cai 1,4% e 2,6% (de R$ 14,05 milhões para R$ 13,86 milhões e R$ 13,69 milhões), a receita mínima de entrada passa de R$ 76 mil para R$ 75 mil e R$ 74 mil/(MW·ano), o custo marginal do último MW, de R$ 895 mil para R$ 885 mil e R$ 876 mil/MW, e a potência ótima com a receita de referência permanece em 55 MW. A arbitragem do módulo mercantil responde por pouco do custo de oportunidade, dominado pela energia que deixa de ir ao eletrolisador, cuja valorização não depende do perfil horário do PLD; com o spread menor, a exportação ao MCP chega a aumentar ligeiramente, pois perde valor guardar energia para a ponta. O lance mínimo não se altera, pois, com o BESS todo contratado, a perda do uso mercantil é nula (Seção 4.2.2).</w:t>
      </w:r>
    </w:p>
    <w:bookmarkEnd w:id="44"/>
    <w:bookmarkStart w:id="51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4.9 e a Tabela 4.14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4.9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degradaca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4.9(b):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4.10 e a Tabela 4.15 comparam eletrolisadores de 10, 17,5 e 25 MW, mantida a usina FV de 50 MWp.</w:t>
      </w:r>
    </w:p>
    <w:p>
      <w:pPr>
        <w:pStyle w:val="Legenda"/>
      </w:pPr>
      <w:r>
        <w:t xml:space="preserve">Figura 4.10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uras/curva_oferta_eletrolisado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4.15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4.6).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4.4).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51"/>
    <w:bookmarkStart w:id="58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4.11.</w:t>
      </w:r>
    </w:p>
    <w:p>
      <w:pPr>
        <w:pStyle w:val="Legenda"/>
      </w:pPr>
      <w:r>
        <w:t xml:space="preserve">Figura 4.11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4.12).</w:t>
      </w:r>
    </w:p>
    <w:p>
      <w:pPr>
        <w:pStyle w:val="Legenda"/>
      </w:pPr>
      <w:r>
        <w:t xml:space="preserve">Figura 4.12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4.11 e 4.12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8"/>
    <w:bookmarkEnd w:id="59"/>
    <w:bookmarkStart w:id="60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60"/>
    <w:bookmarkStart w:id="61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61"/>
    <w:bookmarkEnd w:id="62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2" Target="media/rId32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2026-10-21T01:32:34Z</dcterms:created>
  <dcterms:modified xsi:type="dcterms:W3CDTF">2026-10-21T01:32:34Z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