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17.png" ContentType="image/png"/>
  <Override PartName="/word/media/rId23.png" ContentType="image/png"/>
  <Override PartName="/word/media/rId47.png" ContentType="image/png"/>
  <Override PartName="/word/media/rId4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— tem caráter provisório, conforme discutido nas Seções 3.5 e 3.8.4.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bookmarkEnd w:id="12"/>
    <w:bookmarkStart w:id="22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e a Subseção 4.2.3, a sensibilidade do lance mínimo às hipóteses do modelo.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3.8.4,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−295 (−461 a −81)</w:t>
            </w:r>
          </w:p>
        </w:tc>
        <w:tc>
          <w:tcPr/>
          <w:p>
            <w:pPr>
              <w:pStyle w:val="Compact"/>
            </w:pPr>
            <w:r>
              <w:t xml:space="preserve">−386</w:t>
            </w:r>
          </w:p>
        </w:tc>
        <w:tc>
          <w:tcPr/>
          <w:p>
            <w:pPr>
              <w:pStyle w:val="Compact"/>
            </w:pPr>
            <w:r>
              <w:t xml:space="preserve">0,6%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−353 (−520 a −140)</w:t>
            </w:r>
          </w:p>
        </w:tc>
        <w:tc>
          <w:tcPr/>
          <w:p>
            <w:pPr>
              <w:pStyle w:val="Compact"/>
            </w:pPr>
            <w:r>
              <w:t xml:space="preserve">−432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−327 (−494 a −113)</w:t>
            </w:r>
          </w:p>
        </w:tc>
        <w:tc>
          <w:tcPr/>
          <w:p>
            <w:pPr>
              <w:pStyle w:val="Compact"/>
            </w:pPr>
            <w:r>
              <w:t xml:space="preserve">−412</w:t>
            </w:r>
          </w:p>
        </w:tc>
        <w:tc>
          <w:tcPr/>
          <w:p>
            <w:pPr>
              <w:pStyle w:val="Compact"/>
            </w:pPr>
            <w:r>
              <w:t xml:space="preserve">−0,4%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−120 (−287 a +94)</w:t>
            </w:r>
          </w:p>
        </w:tc>
        <w:tc>
          <w:tcPr/>
          <w:p>
            <w:pPr>
              <w:pStyle w:val="Compact"/>
            </w:pPr>
            <w:r>
              <w:t xml:space="preserve">−248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  <w:tc>
          <w:tcPr/>
          <w:p>
            <w:pPr>
              <w:pStyle w:val="Compact"/>
            </w:pPr>
            <w:r>
              <w:t xml:space="preserve">−289 (−455 a −75)</w:t>
            </w:r>
          </w:p>
        </w:tc>
        <w:tc>
          <w:tcPr/>
          <w:p>
            <w:pPr>
              <w:pStyle w:val="Compact"/>
            </w:pPr>
            <w:r>
              <w:t xml:space="preserve">−382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−259 (−400 a −91)</w:t>
            </w:r>
          </w:p>
        </w:tc>
        <w:tc>
          <w:tcPr/>
          <w:p>
            <w:pPr>
              <w:pStyle w:val="Compact"/>
            </w:pPr>
            <w:r>
              <w:t xml:space="preserve">−341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−351 (−542 a −91)</w:t>
            </w:r>
          </w:p>
        </w:tc>
        <w:tc>
          <w:tcPr/>
          <w:p>
            <w:pPr>
              <w:pStyle w:val="Compact"/>
            </w:pPr>
            <w:r>
              <w:t xml:space="preserve">−447</w:t>
            </w:r>
          </w:p>
        </w:tc>
        <w:tc>
          <w:tcPr/>
          <w:p>
            <w:pPr>
              <w:pStyle w:val="Compact"/>
            </w:pPr>
            <w:r>
              <w:t xml:space="preserve">0,0%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−408 (−574 a −194)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8,0%) com investimento central; entre parênteses, VPL com investimento alto e baixo.</w:t>
      </w:r>
    </w:p>
    <w:p>
      <w:pPr>
        <w:pStyle w:val="BodyText"/>
      </w:pPr>
      <w:r>
        <w:t xml:space="preserve">Com os parâmetros adotados, nenhum caso é economicamente viável com investimento central. No caso de referência, o investimento de R$ 732 milhões — R$ 213 milhões na usina FV, R$ 330 milhões no BESS e R$ 189 milhões no eletrolisador — gera fluxo anual de R$ 51 milhões, após R$ 17 milhões de O&amp;M fixo, e a TIR real é de apenas 0,6%. O preço do hidrogênio que tornaria o VPL nulo à taxa de 8% é de cerca de R$ 68/kg, praticamente o dobro do valor adotado. O único caso com VPL positivo é o de importação de energia com investimentos no limite inferior das faixas (R$ 94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R$ 68,1 milhões. O ganho de R$ 32,8 milhões por ano não cobre o custo anual equivalente do BESS, de R$ 46,8 milhões à taxa de 8% com investimento central (Figura 4.2(b)). Sem a receita do leilão, a bateria agrega apenas R$ 9,7 milhões por ano, provenientes do suprimento noturno do eletrolisador e da arbitragem no MCP;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construir, e a Tabela 4.3 apresenta o lance mínimo para cada faixa de investimento e taxa de desconto.</w:t>
      </w:r>
    </w:p>
    <w:p>
      <w:pPr>
        <w:pStyle w:val="Legenda"/>
      </w:pPr>
      <w:r>
        <w:t xml:space="preserve">Figura 4.3 – Curva de oferta com o investimento no BESS: (a) potência ótima a ofertar com BESS existente e a construir; (b) lance mínimo por faixa de investimento e taxa de desconto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780 (57,5 MW)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925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940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  <w:tc>
          <w:tcPr/>
          <w:p>
            <w:pPr>
              <w:pStyle w:val="Compact"/>
            </w:pPr>
            <w:r>
              <w:t xml:space="preserve">1.110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entre 57,5 e 60 MW. A curva escalonada da Seção 4.3 descreve, portanto, a decisão de um proponente que já dispõe do BESS. O lance mínimo no caso central, de R$ 855 mil/(MW·ano), é praticamente igual à soma do custo anual equivalente do BESS por MW (R$ 780 mil) com o custo de degradação do despacho diário do módulo LRCAP (R$ 73 mil), o que indica que o uso mercantil da bateria pouco reduz o lance quando ela é construída para o leilão. Esse valor é próximo do preço médio obtido por termelétricas existentes no LRCAP de março de 2026 (R$ 831 mil/(MW·ano)) e muito inferior ao das termelétricas e hidrelétricas do leilão anterior (R$ 2,33 milhões/(MW·ano)), o que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para cada caso de sensibilidade da Seção 3.8.3, com investimento central.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por caso, em R$ mil/(MW·ano), com investimento central, e potência ofertada nesse 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815 (55 MW)</w:t>
            </w:r>
          </w:p>
        </w:tc>
        <w:tc>
          <w:tcPr/>
          <w:p>
            <w:pPr>
              <w:pStyle w:val="Compact"/>
            </w:pPr>
            <w:r>
              <w:t xml:space="preserve">995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845 (57,5 MW)</w:t>
            </w:r>
          </w:p>
        </w:tc>
        <w:tc>
          <w:tcPr/>
          <w:p>
            <w:pPr>
              <w:pStyle w:val="Compact"/>
            </w:pPr>
            <w:r>
              <w:t xml:space="preserve">1.020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790 (57,5 MW)</w:t>
            </w:r>
          </w:p>
        </w:tc>
        <w:tc>
          <w:tcPr/>
          <w:p>
            <w:pPr>
              <w:pStyle w:val="Compact"/>
            </w:pPr>
            <w:r>
              <w:t xml:space="preserve">960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810 (57,5 MW)</w:t>
            </w:r>
          </w:p>
        </w:tc>
        <w:tc>
          <w:tcPr/>
          <w:p>
            <w:pPr>
              <w:pStyle w:val="Compact"/>
            </w:pPr>
            <w:r>
              <w:t xml:space="preserve">980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930 (60 MW)</w:t>
            </w:r>
          </w:p>
        </w:tc>
        <w:tc>
          <w:tcPr/>
          <w:p>
            <w:pPr>
              <w:pStyle w:val="Compact"/>
            </w:pPr>
            <w:r>
              <w:t xml:space="preserve">1.100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1.075 (60 MW)</w:t>
            </w:r>
          </w:p>
        </w:tc>
        <w:tc>
          <w:tcPr/>
          <w:p>
            <w:pPr>
              <w:pStyle w:val="Compact"/>
            </w:pPr>
            <w:r>
              <w:t xml:space="preserve">1.245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hipóteses relativas ao hidrogênio, que determinam a quantidade a ofertar com um BESS disponível (Seção 4.3), praticamente não alteram o lance mínimo: nos casos de contrato, de importação e de tamanho do eletrolisador, ele varia entre R$ 815 mil e R$ 855 mil/(MW·ano) à taxa de 8%, uma variação inferior a 5%. O único efeito perceptível ocorre com o contrato de 3 t/dia, em que o BESS também reduz o déficit de entrega e, por isso, o lance cai R$ 40 mil/(MW·ano). Isso ocorre porque, no lance mínimo, quase toda a bateria é destinada ao leilão, e o uso mercantil — o canal pelo qual o hidrogênio afeta a decisão — tem pouco peso.</w:t>
      </w:r>
    </w:p>
    <w:p>
      <w:pPr>
        <w:pStyle w:val="BodyText"/>
      </w:pPr>
      <w:r>
        <w:t xml:space="preserve">Por outro lado, o custo de degradação e a frequência do despacho deslocam o lance mínimo quase exatamente pelo custo de degradação do módulo LRCAP,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(Equação (3.41)): de R$ 855 mil para R$ 930 mil e R$ 1,08 milhão com degradação de R$ 100 e R$ 200/MWh (acréscimos de R$ 75 mil e R$ 220 mil, contra R$ 73 mil e R$ 219 mil previstos), e para R$ 790 mil com 50 despachos por ano (redução de R$ 65 mil, contra R$ 63 mil prevista). O lance mínimo de um BESS a construir é, portanto, bem aproximado pela Equação (4.1):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C</m:t>
                        </m:r>
                      </m:e>
                      <m:sup>
                        <m:r>
                          <m:t>b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s</m:t>
                        </m:r>
                      </m:sup>
                    </m:sSup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(4.1)</w:t>
            </w:r>
          </w:p>
        </w:tc>
      </w:tr>
    </w:tbl>
    <w:p>
      <w:pPr>
        <w:pStyle w:val="FirstParagraph"/>
      </w:pPr>
      <w:r>
        <w:t xml:space="preserve">isto é, pelo custo anual equivalente do BESS por MW acrescido do custo de degradação imposto pelo despacho do ONS. Com os valores avaliados, o lance mínimo situa-se entre R$ 780 mil e R$ 1,25 milhão/(MW·ano), e sua incerteza decorre principalmente do custo de investimento, da taxa de desconto e da degradação da bateria.</w:t>
      </w:r>
    </w:p>
    <w:bookmarkEnd w:id="21"/>
    <w:bookmarkEnd w:id="22"/>
    <w:bookmarkStart w:id="51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6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estocastico_unife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4.5.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4.5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6"/>
    <w:bookmarkStart w:id="27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4.6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4.6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7"/>
    <w:bookmarkStart w:id="31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curva_ofert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1"/>
    <w:bookmarkStart w:id="32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4.7 resume, para a receita fixa de referência, a potência ótima, o lucro e a operação média de cada caso.</w:t>
      </w:r>
    </w:p>
    <w:p>
      <w:pPr>
        <w:pStyle w:val="Legenda"/>
      </w:pPr>
      <w:r>
        <w:t xml:space="preserve">Tabela 4.7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2"/>
    <w:bookmarkStart w:id="36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4.8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as/curva_oferta_cicl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4.8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6"/>
    <w:bookmarkStart w:id="43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4.9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degradaca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4.10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curva_oferta_eletrolisado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não alterou o resultado: o déficit anual de entrega permaneceu em 61 t e a curva de oferta foi idêntica. O déficit decorre da capacidade de produção, e não da armazenagem: a entrega de 3 t/dia exige cerca de 9,4 h diárias de operação na potência nominal, o que não é alcançado nos dias de baixa irradiância, mesmo com o tanque capaz de acumular a produção de dias anteriores.</w:t>
      </w:r>
    </w:p>
    <w:bookmarkEnd w:id="43"/>
    <w:bookmarkStart w:id="50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0"/>
    <w:bookmarkEnd w:id="51"/>
    <w:bookmarkStart w:id="52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oferta é do tipo</w:t>
      </w:r>
      <w:r>
        <w:rPr>
          <w:b/>
          <w:bCs/>
        </w:rPr>
        <w:t xml:space="preserve"> </w:t>
      </w:r>
      <w:r>
        <w:rPr>
          <w:b/>
          <w:bCs/>
        </w:rPr>
        <w:t xml:space="preserve">“tudo ou nada”</w:t>
      </w:r>
      <w:r>
        <w:rPr>
          <w:b/>
          <w:bCs/>
        </w:rPr>
        <w:t xml:space="preserve">:</w:t>
      </w:r>
      <w:r>
        <w:t xml:space="preserve"> </w:t>
      </w:r>
      <w:r>
        <w:t xml:space="preserve">abaixo do lance mínimo, o BESS não é construído; acima dele, ofertam-se 57,5 a 60 MW, praticamente toda a potência da bateria;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R$ 855 mil/(MW·ano) no caso central</w:t>
      </w:r>
      <w:r>
        <w:t xml:space="preserve"> </w:t>
      </w:r>
      <w:r>
        <w:t xml:space="preserve">e varia de R$ 780 mil a R$ 1,25 milhão/(MW·ano) conforme o custo de investimento, a taxa de desconto e a degradação; ele é bem aproximado pelo custo anual equivalente do BESS por MW acrescido do custo de degradação imposto pelo despacho do ONS (Equação (4.1)) e é próximo do preço obtido por termelétricas existentes no LRCAP de 2026;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hipóteses sobre o hidrogênio quase não afetam o lance mínimo</w:t>
      </w:r>
      <w:r>
        <w:t xml:space="preserve"> </w:t>
      </w:r>
      <w:r>
        <w:t xml:space="preserve">(variação inferior a 5%), mas determinam a viabilidade do empreendimento como um todo: com os parâmetros adotados, nenhum caso se paga com investimento central, e o preço de equilíbrio do hidrogênio no caso de referência é de cerca de R$ 68/kg;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(R$ 9,7 milhões por ano, contra custo anual equivalente de R$ 46,8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R$ 228 mil a R$ 1,75 milhão/(MW·ano)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nulo, o EVPI é de 0,2% do lucro esperado, e as condições cíclicas semanais não restringem a operação de forma mensurável.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2"/>
    <w:bookmarkStart w:id="5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3"/>
    <w:bookmarkEnd w:id="5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2026-10-04T21:01:59Z</dcterms:created>
  <dcterms:modified xsi:type="dcterms:W3CDTF">2026-10-04T21:01:59Z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