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(3.5). O perfil é calculado uma única vez para o ano civil inteiro, com condição cíclica no ano —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igual ao estado ao fim do ano —, e cada bloco da decomposição da Seção 3.6 recebe o trecho correspondente. Desse modo, o módulo inicia cada bloco no estado deixado pelo dia anterior, e a energia de recarga repõe exatamente a energia descarregada dividida pela eficiência do ciclo: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isto é, uma multa igual ao preço por kg não entregue. Esse valor não deve ser lido como ressarcimento do produto: se o comprador repuser o hidrogênio com outro fornecedor ao mesmo preço, seu prejuízo direto é nulo, pois ele deixa de pagar o empreendedor, e uma indenização desse tipo corresponderia apenas à diferença entre o preço de reposição e o do contrato. A multa adotada representa, antes, uma cláusula de firmeza, que remunera o custo da interrupção para um comprador que depende da entrega diária. Como o kg não entregue também deixa de ser vendido, seu custo efetivo para o empreendedor é a soma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, de R$ 70/kg, e cada MWh entregue ao eletrolisador para evitar o déficit passa a valer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R$ 1.245/MWh, o dobro do valor sem contrato. Os casos com contrato representam, portanto, um contrato praticamente firme, e o valor do BESS no seu cumprimento depende diretamente de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t xml:space="preserve">O modelo resultante, composto pela função objetivo da Equação (3.1) e pelas restrições das Equações (3.3) a (3.19),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O custo de degradação pode ser estimado como o custo de reposição dos módulos de bateria dividido pela energia que eles descarregam ao longo da vida útil.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obtém-se entre R$ 120 e R$ 185 por MWh descarregado. O valor de R$ 50/MWh adotado no caso de referência situa-se abaixo dessa faixa; por isso, o efeito de valores de R$ 100 e R$ 200/MWh é avaliado na Seção 3.8.4.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a 10% ao ano em 15 anos, a R$ 657 mil a R$ 789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(3.23),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blocos: cada semana começa com o módulo mercantil 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 tanque em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precisa terminar nesses níveis.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p>
      <w:pPr>
        <w:pStyle w:val="BodyText"/>
      </w:pPr>
      <w:r>
        <w:t xml:space="preserve">Quando a potência contratada é fixada — caso das avaliações da curva de oferta e da viabilidade econômica (Seção 3.8) —, a restrição pode ser removida quase integralmente por um procedimento em duas etapas. Primeiro, resolve-se a relaxação linear do problema do ano inteiro, isto é, com as variáveis binárias tratadas como contínuas, e com condição cíclica no ano e nível inicial livre. Sem variáveis binárias, esse problema é resolvido em menos de um minuto, e seu valor ótimo é um limite superior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do lucro operacional do ano. Em seguida, os estados de armazenamento da relaxação no início e no fim de cada semana — o estado de carga do módulo mercantil, em fração de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, e o estoque de hidrogênio — substituem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como condições de contorno dos blocos MILP. Os blocos continuam independentes e são resolvidos em paralelo, e a concatenação de suas soluções é uma operação viável do ano inteiro, cujo lucro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é um limite inferior do ótimo anual. A diferença relativa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Q</m:t>
            </m:r>
          </m:e>
        </m:acc>
        <m:r>
          <m:rPr>
            <m:sty m:val="p"/>
          </m:rPr>
          <m:t>−</m:t>
        </m:r>
        <m:bar>
          <m:barPr>
            <m:pos m:val="bot"/>
          </m:barPr>
          <m:e>
            <m:r>
              <m:t>Q</m:t>
            </m:r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certifica, assim, a qualidade da aproximação. Para que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seja de fato viável, admite-se, nesses blocos, o eletrolisador desligado antes da primeira hora, o que pode acrescentar uma partida por semana. O procedimento não se aplica ao algoritmo de Benders, porque os estados de fronteira dependeriam do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em que a relaxação foi resolvida, e o conjunto viável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da Equação (3.21) deixaria de ser o mesmo entre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considera-se ainda um custo por partida do eletrolisador,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associado a uma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(3.27) a (3.29):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(3.25)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(3.34) e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(3.33),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(3.36)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deixa de obter — no MCP e na venda de hidrogênio —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leilão, isto é, o custo de oportunidade da contratação.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 e com os estados de fronteira dos blocos dados pela relaxação linear de cada ano (Seção 3.6.2). O custo de oportunidade marginal é aproximado pelas diferenças finitas da Equação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(3.38),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(3.39);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 e no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Hipótese do autor; o O&amp;M variável do eletrolisador e a degradação do BESS já estão no modelo de operação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8,0% e 12,1%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geração, após e antes de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lucro operacional não considera tributos sobre a renda, o VPL calculado com a taxa após impostos é otimista; a taxa antes de impostos fornece uma avaliação mais conservadora.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</m:oMath>
      <w:r>
        <w:t xml:space="preserve">. A potência ofertada passa a ser dada pela Equação (3.42):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Q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Q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para as três faixas de investimento e para as duas taxas de desconto do Quadro 3.3.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permite também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 a condição de indiferença</w:t>
      </w:r>
      <w:r>
        <w:t xml:space="preserve"> </w:t>
      </w:r>
      <m:oMath>
        <m:r>
          <m:t>R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C</m:t>
                        </m:r>
                      </m:e>
                      <m:sup>
                        <m:r>
                          <m:t>b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s</m:t>
                        </m:r>
                      </m:sup>
                    </m:sSup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κ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MW, acrescido do custo de degradação imposto pelo despacho do ONS e do custo da recarga excedente. A aproximação desconsidera o valor residual do uso mercantil da bateria e é verificada no Capítulo 4.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vedação à importação de energia da rede,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. Essa configuração corresponde a um critério de qualificação do hidrogênio baseado na intensidade de emissões, e não na origem física da energia, e é avaliada como alternativa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horizonte, sem reajuste pelo Índice Nacional de Preços ao Consumidor Amplo (IPCA), sem o abatimento mensal por desempenho e sem as penalidades por indisponibilidade, cujos detalhes dependem do edital do leilão;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é proporcional à energia descarregada, sem dependência da profundidade de descarga, e seu valor de referência (R$ 50/MWh) é inferior à estimativa baseada no custo de reposição dos módulos, o que é tratado por análise de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contínua do BESS:</w:t>
      </w:r>
      <w:r>
        <w:t xml:space="preserve"> </w:t>
      </w:r>
      <w:r>
        <w:t xml:space="preserve">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fronteira entre blocos semanais:</w:t>
      </w:r>
      <w:r>
        <w:t xml:space="preserve"> </w:t>
      </w:r>
      <w:r>
        <w:t xml:space="preserve">no algoritmo de Benders, os estados de armazenamento retornam ao valor inicial ao final de cada semana, o que impede transferências de energia ou de hidrogênio entre semanas; nas avaliações com potência fixa (Seção 3.8), esses estados seguem a relaxação linear do ano inteiro, e a perda em relação ao ótimo anual é limitada pela diferença entre os limites inferior e superior (Seção 3.6.2);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adotada, igual ao preço do hidrogênio, é um valor de referência ainda não calibrado com contratos reais. Somada à receita perdida, ela custa ao empreendedor R$ 70 por kg não entregue, o que torna o contrato praticamente firme e eleva o valor atribuído ao BESS no seu cumprimento (Seção 3.4.5);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sem tributos sobre a renda, sem financiamento, sem valor residual e com custo de O&amp;M fixo hipotético, e utiliza o lucro operacional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da decisão fora da amostra é deixada para trabalhos futuros.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2026-10-12T19:31:20Z</dcterms:created>
  <dcterms:modified xsi:type="dcterms:W3CDTF">2026-10-12T19:31:20Z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