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17.png" ContentType="image/png"/>
  <Override PartName="/word/media/rId23.png" ContentType="image/png"/>
  <Override PartName="/word/media/rId47.png" ContentType="image/png"/>
  <Override PartName="/word/media/rId44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resultados-e-discussão"/>
    <w:p>
      <w:pPr>
        <w:pStyle w:val="Heading1"/>
      </w:pPr>
      <w:r>
        <w:t xml:space="preserve">4 RESULTADOS E DISCUSSÃO</w:t>
      </w:r>
    </w:p>
    <w:p>
      <w:pPr>
        <w:pStyle w:val="FirstParagraph"/>
      </w:pPr>
      <w:r>
        <w:t xml:space="preserve">Este capítulo apresenta os resultados do modelo descrito no Capítulo 3, aplicado ao caso de referência: a planta da UNIFEI escalonada para 50 MWp de geração FV e 17,5 MW de eletrolisador PEM, com BESS de 60 MW e 300 MWh, conectada ao submercado SE/CO. A Seção 4.1 avalia o desempenho do método de solução no caso determinístico de 2025. A Seção 4.2 apresenta o resultado principal, a decisão de um proponente que precisa construir o BESS: a viabilidade do empreendimento e o lance mínimo no leilão. A Seção 4.3 analisa a decisão de quanto contratar quando o BESS está disponível e os fatores que a determinam. A Seção 4.4 sintetiza os resultados. Salvo indicação em contrário, os resultados correspondem ao lucro esperado nos cinco cenários anuais de 2021 a 2025 (Seção 3.7.2), em valores de dezembro de 2025; a Seção 4.1 e a Subseção 4.3.7 utilizam o caso determinístico de 2025 (Seção 3.5).</w:t>
      </w:r>
    </w:p>
    <w:p>
      <w:pPr>
        <w:pStyle w:val="BodyText"/>
      </w:pPr>
      <w:r>
        <w:t xml:space="preserve">Ressalta-se que parte dos parâmetros econômicos — em especial a receita fixa do LRCAP (R$ 600 mil/(MW·ano)), o preço do hidrogênio (R$ 35/kg), o custo de degradação do BESS (R$ 50/MWh), a multa contratual por déficit de hidrogênio e o custo de O&amp;M fixo — tem caráter provisório, conforme discutido nas Seções 3.5 e 3.8.2. Por isso, a ênfase deste capítulo recai sobre as relações entre as decisões e as hipóteses, e não sobre os valores absolutos de lucro.</w:t>
      </w:r>
    </w:p>
    <w:bookmarkStart w:id="12" w:name="desempenho-do-método-de-solução"/>
    <w:p>
      <w:pPr>
        <w:pStyle w:val="Heading2"/>
      </w:pPr>
      <w:r>
        <w:t xml:space="preserve">4.1 Desempenho do método de solução</w:t>
      </w:r>
    </w:p>
    <w:p>
      <w:pPr>
        <w:pStyle w:val="FirstParagraph"/>
      </w:pPr>
      <w:r>
        <w:t xml:space="preserve">O caso determinístico utiliza o PLD do submercado SE/CO de 2025, a geração FV obtida da base ERA5 e o perfil fixo de despacho do ONS descritos na Seção 3.5, com o ano dividido em 52 blocos semanais. A Figura 4.1 apresenta a convergência do algoritmo de Benders e a aproximação da função valor do primeiro estágio construída pelos cortes.</w:t>
      </w:r>
    </w:p>
    <w:p>
      <w:pPr>
        <w:pStyle w:val="Legenda"/>
      </w:pPr>
      <w:r>
        <w:t xml:space="preserve">Figura 4.1 – Caso determinístico de 2025: (a) limites superior e inferior ao longo das iterações de Benders; (b) aproximação da função valor pelos cortes e pontos avaliados</w:t>
      </w:r>
    </w:p>
    <w:p>
      <w:pPr>
        <w:pStyle w:val="Figura"/>
      </w:pPr>
      <w:r>
        <w:drawing>
          <wp:inline>
            <wp:extent cx="5334000" cy="2000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as/benders_unifei_escalonad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Após a avaliação dos três pontos iniciais (0, 30 e 60 MW), o limite superior parte de R$ 72,7 milhões, e o algoritmo converge em quatro iterações, com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final de 0,06%, em 67 segundos de processamento em quatro núcleos — tempo inferior ao de uma única tentativa de solução direta do MILP anual, interrompida após 15 minutos sem solução (Seção 3.6.1). A Figura 4.1(b) mostra que a função valor é crescente e aproximadamente linear até cerca de 45 MW e praticamente plana entre 50 e 60 MW, o que explica a convergência rápida: poucos cortes bastam para delimitar a região do ótimo.</w:t>
      </w:r>
    </w:p>
    <w:p>
      <w:pPr>
        <w:pStyle w:val="BodyText"/>
      </w:pPr>
      <w:r>
        <w:t xml:space="preserve">O ótimo encontrado é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54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MW, com lucro de R$ 67,5 milhões no ano. A Tabela 4.1 compara a composição desse resultado com o ótimo do modelo estocástico, apresentado na Subseção 4.3.1.</w:t>
      </w:r>
    </w:p>
    <w:p>
      <w:pPr>
        <w:pStyle w:val="Legenda"/>
      </w:pPr>
      <w:r>
        <w:t xml:space="preserve">Tabela 4.1 – Comparação entre o caso determinístico de 2025 e o modelo estocástico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Determinístico (2025)</w:t>
            </w:r>
          </w:p>
        </w:tc>
        <w:tc>
          <w:tcPr/>
          <w:p>
            <w:pPr>
              <w:pStyle w:val="Compact"/>
            </w:pPr>
            <w:r>
              <w:t xml:space="preserve">Estocástico (2021–2025, média)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Potência ótima no LRCAP (MW)</w:t>
            </w:r>
          </w:p>
        </w:tc>
        <w:tc>
          <w:tcPr/>
          <w:p>
            <w:pPr>
              <w:pStyle w:val="Compact"/>
            </w:pPr>
            <w:r>
              <w:t xml:space="preserve">54,4</w:t>
            </w:r>
          </w:p>
        </w:tc>
        <w:tc>
          <w:tcPr/>
          <w:p>
            <w:pPr>
              <w:pStyle w:val="Compact"/>
            </w:pPr>
            <w:r>
              <w:t xml:space="preserve">54,4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Lucro (R$ milhões/ano)</w:t>
            </w:r>
          </w:p>
        </w:tc>
        <w:tc>
          <w:tcPr/>
          <w:p>
            <w:pPr>
              <w:pStyle w:val="Compact"/>
            </w:pPr>
            <w:r>
              <w:t xml:space="preserve">67,5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fixa do LRCAP (R$ milhões/ano)</w:t>
            </w:r>
          </w:p>
        </w:tc>
        <w:tc>
          <w:tcPr/>
          <w:p>
            <w:pPr>
              <w:pStyle w:val="Compact"/>
            </w:pPr>
            <w:r>
              <w:t xml:space="preserve">32,7</w:t>
            </w:r>
          </w:p>
        </w:tc>
        <w:tc>
          <w:tcPr/>
          <w:p>
            <w:pPr>
              <w:pStyle w:val="Compact"/>
            </w:pPr>
            <w:r>
              <w:t xml:space="preserve">32,6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de H₂ (R$ milhões/ano)</w:t>
            </w:r>
          </w:p>
        </w:tc>
        <w:tc>
          <w:tcPr/>
          <w:p>
            <w:pPr>
              <w:pStyle w:val="Compact"/>
            </w:pPr>
            <w:r>
              <w:t xml:space="preserve">39,1</w:t>
            </w:r>
          </w:p>
        </w:tc>
        <w:tc>
          <w:tcPr/>
          <w:p>
            <w:pPr>
              <w:pStyle w:val="Compact"/>
            </w:pPr>
            <w:r>
              <w:t xml:space="preserve">36,0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no MCP (R$ milhões/ano)</w:t>
            </w:r>
          </w:p>
        </w:tc>
        <w:tc>
          <w:tcPr/>
          <w:p>
            <w:pPr>
              <w:pStyle w:val="Compact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 do BESS (R$ milhões/ano)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 produzido (t/ano)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1.029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Fator de capacidade do eletrolisador</w:t>
            </w:r>
          </w:p>
        </w:tc>
        <w:tc>
          <w:tcPr/>
          <w:p>
            <w:pPr>
              <w:pStyle w:val="Compact"/>
            </w:pPr>
            <w:r>
              <w:t xml:space="preserve">0,40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</w:tr>
    </w:tbl>
    <w:p>
      <w:pPr>
        <w:pStyle w:val="Fonte"/>
      </w:pPr>
      <w:r>
        <w:t xml:space="preserve">Fonte: elaborado pelo autor. Valores do modelo estocástico obtidos na grade de 55 MW, exceto potência, lucro e receita fixa.</w:t>
      </w:r>
    </w:p>
    <w:p>
      <w:pPr>
        <w:pStyle w:val="BodyText"/>
      </w:pPr>
      <w:r>
        <w:t xml:space="preserve">As duas abordagens conduzem à mesma potência ótima. As diferenças de composição decorrem principalmente do preço. Embora a série ERA5 de 2025 apresente fator de capacidade FV ligeiramente inferior ao da média dos cenários SARAH-3 (16,9% contra 17,5%), o caso determinístico produz mais hidrogênio. No modelo estocástico, os picos de PLD do cenário de 2021, que superam o valor da energia no eletrolisador, tornam a exportação ao MCP mais vantajosa em parte das horas, o que eleva a receita média no mercado de curto prazo e reduz a produção de hidrogênio. A coincidência das potências ótimas antecipa o resultado da Subseção 4.3.2: a variação entre anos pouco altera a decisão de contratação.</w:t>
      </w:r>
    </w:p>
    <w:p>
      <w:pPr>
        <w:pStyle w:val="BodyText"/>
      </w:pPr>
      <w:r>
        <w:rPr>
          <w:b/>
          <w:bCs/>
        </w:rPr>
        <w:t xml:space="preserve">Decomposição em blocos.</w:t>
      </w:r>
      <w:r>
        <w:t xml:space="preserve"> </w:t>
      </w:r>
      <w:r>
        <w:t xml:space="preserve">Para a potência de 54,44 MW, o lucro anual do caso determinístico de 2025 foi idêntico com blocos de 7, 14 e 28 dias (diferença relativa inferior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). Refeita a decomposição com blocos de 14 dias, o algoritmo de Benders convergiu para 55,5 MW e R$ 67,53 milhões, contra 54,4 MW e R$ 67,51 milhões com blocos semanais — diferença de 0,03%, inferior à tolerância de convergência e situada na região plana do ótimo. Sem contrato de hidrogênio, as condições cíclicas semanais, portanto, não restringem a operação de forma mensurável, o que é coerente com a operação em ciclos diários do módulo mercantil e do tanque, cujos estados de armazenamento tendem a retornar aos mesmos valores ao fim de cada semana.</w:t>
      </w:r>
    </w:p>
    <w:p>
      <w:pPr>
        <w:pStyle w:val="BodyText"/>
      </w:pPr>
      <w:r>
        <w:t xml:space="preserve">O mesmo não vale quando há contrato de fornecimento de hidrogênio. Com entrega diária firme, guardar energia e hidrogênio de dias ensolarados para dias nublados tem valor, e a condição cíclica semanal — que obriga cada semana a começar com o módulo mercantil em 50% da carga e o tanque vazio — passa a restringir a operação. No contrato de 3 t/dia, o lucro operacional esperado com blocos cíclicos ficou entre 2,3% e 3,8% abaixo do obtido com os estados de fronteira da relaxação linear do ano (Seção 3.6.2), para potências de até 55 MW, e o déficit anual de entrega com 55 MW contratados caiu de 61 t para 40 t. Com o tanque de 10 t, a diferença chegou a 9%, pois a condição cíclica esvaziava o tanque no início de cada semana. Com a fronteira da relaxação, a diferença entre os limites inferior e superior do lucro foi inferior a 0,1% em todos os pontos das curvas de oferta dos casos com contrato até 55 MW, de até 0,33% com 57,5 MW e de até 1,6% com 60 MW. Nesse último ponto, o módulo mercantil fica sem potência e a relaxação linear, que admite o eletrolisador abaixo da carga mínima, é menos justa. No caso sem contrato, os dois tratamentos diferem em 0,01% (ano de 2021, 57,5 MW). Por isso, os casos com contrato de hidrogênio, apresentados nas Subseções 4.2.3, 4.3.4 e 4.3.6, foram calculados com a fronteira da relaxação.</w:t>
      </w:r>
    </w:p>
    <w:bookmarkEnd w:id="12"/>
    <w:bookmarkStart w:id="22" w:name="Xb33ba098ecda1c076dd3fa5147f472532b1bd56"/>
    <w:p>
      <w:pPr>
        <w:pStyle w:val="Heading2"/>
      </w:pPr>
      <w:r>
        <w:t xml:space="preserve">4.2 BESS a construir: viabilidade e lance mínimo</w:t>
      </w:r>
    </w:p>
    <w:p>
      <w:pPr>
        <w:pStyle w:val="FirstParagraph"/>
      </w:pPr>
      <w:r>
        <w:t xml:space="preserve">Esta seção apresenta o resultado principal do trabalho: a decisão de um proponente que precisa construir o BESS para participar do leilão, situação prevista na Portaria, que trata da contratação de novos sistemas de armazenamento (BRASIL, 2026). A Subseção 4.2.1 avalia a viabilidade do empreendimento com a receita fixa de referência; a Subseção 4.2.2, o valor do BESS e o lance mínimo; e a Subseção 4.2.3, a sensibilidade do lance mínimo às hipóteses do modelo.</w:t>
      </w:r>
    </w:p>
    <w:bookmarkStart w:id="16" w:name="viabilidade-do-empreendimento"/>
    <w:p>
      <w:pPr>
        <w:pStyle w:val="Heading3"/>
      </w:pPr>
      <w:r>
        <w:t xml:space="preserve">4.2.1 Viabilidade do empreendimento</w:t>
      </w:r>
    </w:p>
    <w:p>
      <w:pPr>
        <w:pStyle w:val="FirstParagraph"/>
      </w:pPr>
      <w:r>
        <w:t xml:space="preserve">O modelo de operação maximiza o lucro operacional, sem os custos de investimento. Esta subseção avalia, segundo o procedimento da Seção 3.8.2, se o empreendimento se paga com a receita fixa de referência. Os resultados são apresentados na Tabela 4.2 e na Figura 4.2.</w:t>
      </w:r>
    </w:p>
    <w:p>
      <w:pPr>
        <w:pStyle w:val="Legenda"/>
      </w:pPr>
      <w:r>
        <w:t xml:space="preserve">Tabela 4.2 – Viabilidade econômica em 15 anos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3"/>
        <w:gridCol w:w="851"/>
        <w:gridCol w:w="851"/>
        <w:gridCol w:w="1873"/>
        <w:gridCol w:w="851"/>
        <w:gridCol w:w="681"/>
        <w:gridCol w:w="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Invest. (R$ mi)</w:t>
            </w:r>
          </w:p>
        </w:tc>
        <w:tc>
          <w:tcPr/>
          <w:p>
            <w:pPr>
              <w:pStyle w:val="Compact"/>
            </w:pPr>
            <w:r>
              <w:t xml:space="preserve">Lucro op. (R$ mi/ano)</w:t>
            </w:r>
          </w:p>
        </w:tc>
        <w:tc>
          <w:tcPr/>
          <w:p>
            <w:pPr>
              <w:pStyle w:val="Compact"/>
            </w:pPr>
            <w:r>
              <w:t xml:space="preserve">VPL a 8,0% (R$ mi)</w:t>
            </w:r>
          </w:p>
        </w:tc>
        <w:tc>
          <w:tcPr/>
          <w:p>
            <w:pPr>
              <w:pStyle w:val="Compact"/>
            </w:pPr>
            <w:r>
              <w:t xml:space="preserve">VPL a 12,1% (R$ mi)</w:t>
            </w:r>
          </w:p>
        </w:tc>
        <w:tc>
          <w:tcPr/>
          <w:p>
            <w:pPr>
              <w:pStyle w:val="Compact"/>
            </w:pPr>
            <w:r>
              <w:t xml:space="preserve">TIR real</w:t>
            </w:r>
          </w:p>
        </w:tc>
        <w:tc>
          <w:tcPr/>
          <w:p>
            <w:pPr>
              <w:pStyle w:val="Compact"/>
            </w:pPr>
            <w:r>
              <w:t xml:space="preserve">H₂ eq. (R$/kg)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−295 (−461 a −81)</w:t>
            </w:r>
          </w:p>
        </w:tc>
        <w:tc>
          <w:tcPr/>
          <w:p>
            <w:pPr>
              <w:pStyle w:val="Compact"/>
            </w:pPr>
            <w:r>
              <w:t xml:space="preserve">−386</w:t>
            </w:r>
          </w:p>
        </w:tc>
        <w:tc>
          <w:tcPr/>
          <w:p>
            <w:pPr>
              <w:pStyle w:val="Compact"/>
            </w:pPr>
            <w:r>
              <w:t xml:space="preserve">0,6%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2 t/dia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61,8</w:t>
            </w:r>
          </w:p>
        </w:tc>
        <w:tc>
          <w:tcPr/>
          <w:p>
            <w:pPr>
              <w:pStyle w:val="Compact"/>
            </w:pPr>
            <w:r>
              <w:t xml:space="preserve">−349 (−515 a −135)</w:t>
            </w:r>
          </w:p>
        </w:tc>
        <w:tc>
          <w:tcPr/>
          <w:p>
            <w:pPr>
              <w:pStyle w:val="Compact"/>
            </w:pPr>
            <w:r>
              <w:t xml:space="preserve">−429</w:t>
            </w:r>
          </w:p>
        </w:tc>
        <w:tc>
          <w:tcPr/>
          <w:p>
            <w:pPr>
              <w:pStyle w:val="Compact"/>
            </w:pPr>
            <w:r>
              <w:t xml:space="preserve">−1,1%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3 t/dia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65,5</w:t>
            </w:r>
          </w:p>
        </w:tc>
        <w:tc>
          <w:tcPr/>
          <w:p>
            <w:pPr>
              <w:pStyle w:val="Compact"/>
            </w:pPr>
            <w:r>
              <w:t xml:space="preserve">−317 (−483 a −103)</w:t>
            </w:r>
          </w:p>
        </w:tc>
        <w:tc>
          <w:tcPr/>
          <w:p>
            <w:pPr>
              <w:pStyle w:val="Compact"/>
            </w:pPr>
            <w:r>
              <w:t xml:space="preserve">−404</w:t>
            </w:r>
          </w:p>
        </w:tc>
        <w:tc>
          <w:tcPr/>
          <w:p>
            <w:pPr>
              <w:pStyle w:val="Compact"/>
            </w:pPr>
            <w:r>
              <w:t xml:space="preserve">−0,1%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88,5</w:t>
            </w:r>
          </w:p>
        </w:tc>
        <w:tc>
          <w:tcPr/>
          <w:p>
            <w:pPr>
              <w:pStyle w:val="Compact"/>
            </w:pPr>
            <w:r>
              <w:t xml:space="preserve">−120 (−287 a +94)</w:t>
            </w:r>
          </w:p>
        </w:tc>
        <w:tc>
          <w:tcPr/>
          <w:p>
            <w:pPr>
              <w:pStyle w:val="Compact"/>
            </w:pPr>
            <w:r>
              <w:t xml:space="preserve">−248</w:t>
            </w:r>
          </w:p>
        </w:tc>
        <w:tc>
          <w:tcPr/>
          <w:p>
            <w:pPr>
              <w:pStyle w:val="Compact"/>
            </w:pPr>
            <w:r>
              <w:t xml:space="preserve">5,2%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 e contrato 3 t/dia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68,9</w:t>
            </w:r>
          </w:p>
        </w:tc>
        <w:tc>
          <w:tcPr/>
          <w:p>
            <w:pPr>
              <w:pStyle w:val="Compact"/>
            </w:pPr>
            <w:r>
              <w:t xml:space="preserve">−288 (−455 a −74)</w:t>
            </w:r>
          </w:p>
        </w:tc>
        <w:tc>
          <w:tcPr/>
          <w:p>
            <w:pPr>
              <w:pStyle w:val="Compact"/>
            </w:pPr>
            <w:r>
              <w:t xml:space="preserve">−381</w:t>
            </w:r>
          </w:p>
        </w:tc>
        <w:tc>
          <w:tcPr/>
          <w:p>
            <w:pPr>
              <w:pStyle w:val="Compact"/>
            </w:pPr>
            <w:r>
              <w:t xml:space="preserve">0,8%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 10 MW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60,4</w:t>
            </w:r>
          </w:p>
        </w:tc>
        <w:tc>
          <w:tcPr/>
          <w:p>
            <w:pPr>
              <w:pStyle w:val="Compact"/>
            </w:pPr>
            <w:r>
              <w:t xml:space="preserve">−259 (−400 a −91)</w:t>
            </w:r>
          </w:p>
        </w:tc>
        <w:tc>
          <w:tcPr/>
          <w:p>
            <w:pPr>
              <w:pStyle w:val="Compact"/>
            </w:pPr>
            <w:r>
              <w:t xml:space="preserve">−341</w:t>
            </w:r>
          </w:p>
        </w:tc>
        <w:tc>
          <w:tcPr/>
          <w:p>
            <w:pPr>
              <w:pStyle w:val="Compact"/>
            </w:pPr>
            <w:r>
              <w:t xml:space="preserve">0,7%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 25 MW</w:t>
            </w:r>
          </w:p>
        </w:tc>
        <w:tc>
          <w:tcPr/>
          <w:p>
            <w:pPr>
              <w:pStyle w:val="Compact"/>
            </w:pPr>
            <w:r>
              <w:t xml:space="preserve">813</w:t>
            </w:r>
          </w:p>
        </w:tc>
        <w:tc>
          <w:tcPr/>
          <w:p>
            <w:pPr>
              <w:pStyle w:val="Compact"/>
            </w:pPr>
            <w:r>
              <w:t xml:space="preserve">73,5</w:t>
            </w:r>
          </w:p>
        </w:tc>
        <w:tc>
          <w:tcPr/>
          <w:p>
            <w:pPr>
              <w:pStyle w:val="Compact"/>
            </w:pPr>
            <w:r>
              <w:t xml:space="preserve">−351 (−542 a −91)</w:t>
            </w:r>
          </w:p>
        </w:tc>
        <w:tc>
          <w:tcPr/>
          <w:p>
            <w:pPr>
              <w:pStyle w:val="Compact"/>
            </w:pPr>
            <w:r>
              <w:t xml:space="preserve">−447</w:t>
            </w:r>
          </w:p>
        </w:tc>
        <w:tc>
          <w:tcPr/>
          <w:p>
            <w:pPr>
              <w:pStyle w:val="Compact"/>
            </w:pPr>
            <w:r>
              <w:t xml:space="preserve">0,0%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 R$ 200/MWh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54,9</w:t>
            </w:r>
          </w:p>
        </w:tc>
        <w:tc>
          <w:tcPr/>
          <w:p>
            <w:pPr>
              <w:pStyle w:val="Compact"/>
            </w:pPr>
            <w:r>
              <w:t xml:space="preserve">−408 (−574 a −194)</w:t>
            </w:r>
          </w:p>
        </w:tc>
        <w:tc>
          <w:tcPr/>
          <w:p>
            <w:pPr>
              <w:pStyle w:val="Compact"/>
            </w:pPr>
            <w:r>
              <w:t xml:space="preserve">−475</w:t>
            </w:r>
          </w:p>
        </w:tc>
        <w:tc>
          <w:tcPr/>
          <w:p>
            <w:pPr>
              <w:pStyle w:val="Compact"/>
            </w:pPr>
            <w:r>
              <w:t xml:space="preserve">−3,0%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</w:tbl>
    <w:p>
      <w:pPr>
        <w:pStyle w:val="Fonte"/>
      </w:pPr>
      <w:r>
        <w:t xml:space="preserve">Fonte: elaborado pelo autor. Investimento, TIR e preço de equilíbrio do H₂ (H₂ eq., à taxa de 8,0%) com investimento central; entre parênteses, VPL com investimento alto e baixo.</w:t>
      </w:r>
    </w:p>
    <w:p>
      <w:pPr>
        <w:pStyle w:val="BodyText"/>
      </w:pPr>
      <w:r>
        <w:t xml:space="preserve">Com os parâmetros adotados, nenhum caso é economicamente viável com investimento central. No caso de referência, o investimento de R$ 732 milhões — R$ 213 milhões na usina FV, R$ 330 milhões no BESS e R$ 189 milhões no eletrolisador — gera fluxo anual de R$ 51 milhões, após R$ 17 milhões de O&amp;M fixo, e a TIR real é de apenas 0,6%. O preço do hidrogênio que tornaria o VPL nulo à taxa de 8% é de cerca de R$ 68/kg, praticamente o dobro do valor adotado. O único caso com VPL positivo é o de importação de energia com investimentos no limite inferior das faixas (R$ 94 milhões), o que antecipa a importância da regra de suprimento do eletrolisador discutida na Subseção 4.3.4.</w:t>
      </w:r>
    </w:p>
    <w:p>
      <w:pPr>
        <w:pStyle w:val="Legenda"/>
      </w:pPr>
      <w:r>
        <w:t xml:space="preserve">Figura 4.2 – Viabilidade econômica: (a) VPL do projeto por caso; (b) ganho anual proporcionado pelo BESS em função da receita fixa, comparado com o seu custo anual equivalente</w:t>
      </w:r>
    </w:p>
    <w:p>
      <w:pPr>
        <w:pStyle w:val="Figura"/>
      </w:pPr>
      <w:r>
        <w:drawing>
          <wp:inline>
            <wp:extent cx="5334000" cy="190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as/viabilidad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bookmarkEnd w:id="16"/>
    <w:bookmarkStart w:id="20" w:name="valor-do-bess-e-lance-mínimo"/>
    <w:p>
      <w:pPr>
        <w:pStyle w:val="Heading3"/>
      </w:pPr>
      <w:r>
        <w:t xml:space="preserve">4.2.2 Valor do BESS e lance mínimo</w:t>
      </w:r>
    </w:p>
    <w:p>
      <w:pPr>
        <w:pStyle w:val="FirstParagraph"/>
      </w:pPr>
      <w:r>
        <w:rPr>
          <w:b/>
          <w:bCs/>
        </w:rPr>
        <w:t xml:space="preserve">Valor do BESS.</w:t>
      </w:r>
      <w:r>
        <w:t xml:space="preserve"> </w:t>
      </w:r>
      <w:r>
        <w:t xml:space="preserve">Sem a bateria, e portanto sem o leilão, o lucro operacional esperado é de R$ 35,4 milhões por ano. Com o BESS e a contratação de 55 MW à receita de R$ 600 mil/(MW·ano), passa a R$ 68,1 milhões. O ganho de R$ 32,8 milhões por ano não cobre o custo anual equivalente do BESS, de R$ 46,8 milhões à taxa de 8% com investimento central (Figura 4.2(b)). Sem a receita do leilão, a bateria agrega apenas R$ 9,7 milhões por ano, provenientes do suprimento noturno do eletrolisador e da arbitragem no MCP; é, portanto, a receita fixa do LRCAP que pode viabilizá-la.</w:t>
      </w:r>
    </w:p>
    <w:p>
      <w:pPr>
        <w:pStyle w:val="BodyText"/>
      </w:pPr>
      <w:r>
        <w:rPr>
          <w:b/>
          <w:bCs/>
        </w:rPr>
        <w:t xml:space="preserve">Lance mínimo.</w:t>
      </w:r>
      <w:r>
        <w:t xml:space="preserve"> </w:t>
      </w:r>
      <w:r>
        <w:t xml:space="preserve">A Figura 4.3 compara a curva de oferta de um BESS já existente, obtida na Subseção 4.3.3, com a de um BESS a construir, e a Tabela 4.3 apresenta o lance mínimo para cada faixa de investimento e taxa de desconto.</w:t>
      </w:r>
    </w:p>
    <w:p>
      <w:pPr>
        <w:pStyle w:val="Legenda"/>
      </w:pPr>
      <w:r>
        <w:t xml:space="preserve">Figura 4.3 – Curva de oferta com o investimento no BESS: (a) potência ótima a ofertar com BESS existente e a construir; (b) lance mínimo por faixa de investimento e taxa de desconto</w:t>
      </w:r>
    </w:p>
    <w:p>
      <w:pPr>
        <w:pStyle w:val="Figura"/>
      </w:pPr>
      <w:r>
        <w:drawing>
          <wp:inline>
            <wp:extent cx="5334000" cy="229772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as/curva_oferta_investiment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4.3 – Lance mínimo para a construção do BESS, em R$ mil/(MW·ano), e potência ofertada nesse 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Taxa de desconto</w:t>
            </w:r>
          </w:p>
        </w:tc>
        <w:tc>
          <w:tcPr/>
          <w:p>
            <w:pPr>
              <w:pStyle w:val="Compact"/>
            </w:pPr>
            <w:r>
              <w:t xml:space="preserve">Investimento baixo (R$ 5.000/kW)</w:t>
            </w:r>
          </w:p>
        </w:tc>
        <w:tc>
          <w:tcPr/>
          <w:p>
            <w:pPr>
              <w:pStyle w:val="Compact"/>
            </w:pPr>
            <w:r>
              <w:t xml:space="preserve">Investimento central (R$ 5.500/kW)</w:t>
            </w:r>
          </w:p>
        </w:tc>
        <w:tc>
          <w:tcPr/>
          <w:p>
            <w:pPr>
              <w:pStyle w:val="Compact"/>
            </w:pPr>
            <w:r>
              <w:t xml:space="preserve">Investimento alto (R$ 6.000/kW)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8,0%</w:t>
            </w:r>
          </w:p>
        </w:tc>
        <w:tc>
          <w:tcPr/>
          <w:p>
            <w:pPr>
              <w:pStyle w:val="Compact"/>
            </w:pPr>
            <w:r>
              <w:t xml:space="preserve">780 (57,5 MW)</w:t>
            </w:r>
          </w:p>
        </w:tc>
        <w:tc>
          <w:tcPr/>
          <w:p>
            <w:pPr>
              <w:pStyle w:val="Compact"/>
            </w:pPr>
            <w:r>
              <w:t xml:space="preserve">855 (57,5 MW)</w:t>
            </w:r>
          </w:p>
        </w:tc>
        <w:tc>
          <w:tcPr/>
          <w:p>
            <w:pPr>
              <w:pStyle w:val="Compact"/>
            </w:pPr>
            <w:r>
              <w:t xml:space="preserve">925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12,1%</w:t>
            </w:r>
          </w:p>
        </w:tc>
        <w:tc>
          <w:tcPr/>
          <w:p>
            <w:pPr>
              <w:pStyle w:val="Compact"/>
            </w:pPr>
            <w:r>
              <w:t xml:space="preserve">940 (60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  <w:tc>
          <w:tcPr/>
          <w:p>
            <w:pPr>
              <w:pStyle w:val="Compact"/>
            </w:pPr>
            <w:r>
              <w:t xml:space="preserve">1.110 (60 MW)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Quando o BESS ainda será construído, a curva de oferta deixa de ser escalonada e passa a ser do tipo</w:t>
      </w:r>
      <w:r>
        <w:t xml:space="preserve"> </w:t>
      </w:r>
      <w:r>
        <w:t xml:space="preserve">“tudo ou nada”</w:t>
      </w:r>
      <w:r>
        <w:t xml:space="preserve">: abaixo do lance mínimo, o proponente não constrói a bateria e não oferta potência; acima dele, oferta entre 57,5 e 60 MW. A curva escalonada da Seção 4.3 descreve, portanto, a decisão de um proponente que já dispõe do BESS. O lance mínimo no caso central, de R$ 855 mil/(MW·ano), é praticamente igual à soma do custo anual equivalente do BESS por MW (R$ 780 mil) com o custo de degradação do despacho diário do módulo LRCAP (R$ 73 mil), o que indica que o uso mercantil da bateria pouco reduz o lance quando ela é construída para o leilão. Esse valor é próximo do preço médio obtido por termelétricas existentes no LRCAP de março de 2026 (R$ 831 mil/(MW·ano)) e muito inferior ao das termelétricas e hidrelétricas do leilão anterior (R$ 2,33 milhões/(MW·ano)), o que sugere que o armazenamento em baterias é competitivo frente à expansão térmica, mas não frente às usinas existentes. A receita de R$ 600 mil/(MW·ano) adotada no caso de referência é inferior ao lance mínimo em todas as combinações avaliadas: com ela, um proponente racional não construiria o BESS.</w:t>
      </w:r>
    </w:p>
    <w:bookmarkEnd w:id="20"/>
    <w:bookmarkStart w:id="21" w:name="sensibilidade-do-lance-mínimo"/>
    <w:p>
      <w:pPr>
        <w:pStyle w:val="Heading3"/>
      </w:pPr>
      <w:r>
        <w:t xml:space="preserve">4.2.3 Sensibilidade do lance mínimo</w:t>
      </w:r>
    </w:p>
    <w:p>
      <w:pPr>
        <w:pStyle w:val="FirstParagraph"/>
      </w:pPr>
      <w:r>
        <w:t xml:space="preserve">O lance mínimo da Subseção 4.2.2 foi recalculado para cada caso de sensibilidade da Seção 3.8.4, com investimento central. Nos casos que alteram o contrato de hidrogênio, a importação e o tamanho do eletrolisador, o lucro sem BESS também foi recalculado. Os resultados são apresentados na Tabela 4.4.</w:t>
      </w:r>
    </w:p>
    <w:p>
      <w:pPr>
        <w:pStyle w:val="Legenda"/>
      </w:pPr>
      <w:r>
        <w:t xml:space="preserve">Tabela 4.4 – Lance mínimo para a construção do BESS por caso, em R$ mil/(MW·ano), com investimento central, e potência ofertada nesse 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Taxa de 8,0%</w:t>
            </w:r>
          </w:p>
        </w:tc>
        <w:tc>
          <w:tcPr/>
          <w:p>
            <w:pPr>
              <w:pStyle w:val="Compact"/>
            </w:pPr>
            <w:r>
              <w:t xml:space="preserve">Taxa de 12,1%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855 (57,5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2 t/dia</w:t>
            </w:r>
          </w:p>
        </w:tc>
        <w:tc>
          <w:tcPr/>
          <w:p>
            <w:pPr>
              <w:pStyle w:val="Compact"/>
            </w:pPr>
            <w:r>
              <w:t xml:space="preserve">855 (60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3 t/dia</w:t>
            </w:r>
          </w:p>
        </w:tc>
        <w:tc>
          <w:tcPr/>
          <w:p>
            <w:pPr>
              <w:pStyle w:val="Compact"/>
            </w:pPr>
            <w:r>
              <w:t xml:space="preserve">795 (55 MW)</w:t>
            </w:r>
          </w:p>
        </w:tc>
        <w:tc>
          <w:tcPr/>
          <w:p>
            <w:pPr>
              <w:pStyle w:val="Compact"/>
            </w:pPr>
            <w:r>
              <w:t xml:space="preserve">980 (55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3 t/dia, tanque 10 t</w:t>
            </w:r>
          </w:p>
        </w:tc>
        <w:tc>
          <w:tcPr/>
          <w:p>
            <w:pPr>
              <w:pStyle w:val="Compact"/>
            </w:pPr>
            <w:r>
              <w:t xml:space="preserve">765 (55 MW)</w:t>
            </w:r>
          </w:p>
        </w:tc>
        <w:tc>
          <w:tcPr/>
          <w:p>
            <w:pPr>
              <w:pStyle w:val="Compact"/>
            </w:pPr>
            <w:r>
              <w:t xml:space="preserve">950 (55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</w:t>
            </w:r>
          </w:p>
        </w:tc>
        <w:tc>
          <w:tcPr/>
          <w:p>
            <w:pPr>
              <w:pStyle w:val="Compact"/>
            </w:pPr>
            <w:r>
              <w:t xml:space="preserve">855 (60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 e contrato 3 t/dia</w:t>
            </w:r>
          </w:p>
        </w:tc>
        <w:tc>
          <w:tcPr/>
          <w:p>
            <w:pPr>
              <w:pStyle w:val="Compact"/>
            </w:pPr>
            <w:r>
              <w:t xml:space="preserve">855 (60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 10 MW</w:t>
            </w:r>
          </w:p>
        </w:tc>
        <w:tc>
          <w:tcPr/>
          <w:p>
            <w:pPr>
              <w:pStyle w:val="Compact"/>
            </w:pPr>
            <w:r>
              <w:t xml:space="preserve">845 (57,5 MW)</w:t>
            </w:r>
          </w:p>
        </w:tc>
        <w:tc>
          <w:tcPr/>
          <w:p>
            <w:pPr>
              <w:pStyle w:val="Compact"/>
            </w:pPr>
            <w:r>
              <w:t xml:space="preserve">1.020 (57,5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 25 MW</w:t>
            </w:r>
          </w:p>
        </w:tc>
        <w:tc>
          <w:tcPr/>
          <w:p>
            <w:pPr>
              <w:pStyle w:val="Compact"/>
            </w:pPr>
            <w:r>
              <w:t xml:space="preserve">855 (60 MW)</w:t>
            </w:r>
          </w:p>
        </w:tc>
        <w:tc>
          <w:tcPr/>
          <w:p>
            <w:pPr>
              <w:pStyle w:val="Compact"/>
            </w:pPr>
            <w:r>
              <w:t xml:space="preserve">1.025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despachos/ano</w:t>
            </w:r>
          </w:p>
        </w:tc>
        <w:tc>
          <w:tcPr/>
          <w:p>
            <w:pPr>
              <w:pStyle w:val="Compact"/>
            </w:pPr>
            <w:r>
              <w:t xml:space="preserve">790 (57,5 MW)</w:t>
            </w:r>
          </w:p>
        </w:tc>
        <w:tc>
          <w:tcPr/>
          <w:p>
            <w:pPr>
              <w:pStyle w:val="Compact"/>
            </w:pPr>
            <w:r>
              <w:t xml:space="preserve">960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 despachos/ano</w:t>
            </w:r>
          </w:p>
        </w:tc>
        <w:tc>
          <w:tcPr/>
          <w:p>
            <w:pPr>
              <w:pStyle w:val="Compact"/>
            </w:pPr>
            <w:r>
              <w:t xml:space="preserve">810 (57,5 MW)</w:t>
            </w:r>
          </w:p>
        </w:tc>
        <w:tc>
          <w:tcPr/>
          <w:p>
            <w:pPr>
              <w:pStyle w:val="Compact"/>
            </w:pPr>
            <w:r>
              <w:t xml:space="preserve">980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 R$ 100/MWh</w:t>
            </w:r>
          </w:p>
        </w:tc>
        <w:tc>
          <w:tcPr/>
          <w:p>
            <w:pPr>
              <w:pStyle w:val="Compact"/>
            </w:pPr>
            <w:r>
              <w:t xml:space="preserve">930 (60 MW)</w:t>
            </w:r>
          </w:p>
        </w:tc>
        <w:tc>
          <w:tcPr/>
          <w:p>
            <w:pPr>
              <w:pStyle w:val="Compact"/>
            </w:pPr>
            <w:r>
              <w:t xml:space="preserve">1.100 (60 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 R$ 200/MWh</w:t>
            </w:r>
          </w:p>
        </w:tc>
        <w:tc>
          <w:tcPr/>
          <w:p>
            <w:pPr>
              <w:pStyle w:val="Compact"/>
            </w:pPr>
            <w:r>
              <w:t xml:space="preserve">1.075 (60 MW)</w:t>
            </w:r>
          </w:p>
        </w:tc>
        <w:tc>
          <w:tcPr/>
          <w:p>
            <w:pPr>
              <w:pStyle w:val="Compact"/>
            </w:pPr>
            <w:r>
              <w:t xml:space="preserve">1.245 (60 MW)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As hipóteses relativas ao hidrogênio, que determinam a quantidade a ofertar com um BESS disponível (Seção 4.3), alteram pouco o lance mínimo na maior parte dos casos: com o contrato de 2 t/dia, a importação e os dois tamanhos de eletrolisador, ele varia entre R$ 845 mil e R$ 855 mil/(MW·ano) à taxa de 8%. Isso ocorre porque, no lance mínimo, quase toda a bateria é destinada ao leilão, e o uso mercantil — o canal pelo qual o hidrogênio afeta a decisão — tem pouco peso. A exceção é o contrato firme de 3 t/dia sem importação. Nele, o proponente oferta 55 MW, e os 5 MW e 36 MWh restantes do BESS reduzem o déficit de entrega e a multa correspondente. Esse uso mercantil reduz o lance para R$ 795 mil/(MW·ano) com o tanque de 2 t e para R$ 765 mil com o tanque de 10 t, quedas de 7% e de 11% em relação ao caso de referência. A magnitude dessa redução depende da multa contratual, que faz cada kg não entregue custar R$ 70 ao empreendedor (Seção 3.4.5).</w:t>
      </w:r>
    </w:p>
    <w:p>
      <w:pPr>
        <w:pStyle w:val="BodyText"/>
      </w:pPr>
      <w:r>
        <w:t xml:space="preserve">Por outro lado, o custo de degradação e a frequência do despacho deslocam o lance mínimo quase exatamente pelo custo de degradação do módulo LRCAP,</w:t>
      </w:r>
      <w:r>
        <w:t xml:space="preserve"> </w:t>
      </w:r>
      <m:oMath>
        <m:sSup>
          <m:e>
            <m:r>
              <m:t>c</m:t>
            </m:r>
          </m:e>
          <m:sup>
            <m:r>
              <m:t>d</m:t>
            </m:r>
            <m:r>
              <m:t>e</m:t>
            </m:r>
            <m:r>
              <m:t>g</m:t>
            </m:r>
          </m:sup>
        </m:sSup>
        <m:sSup>
          <m:e>
            <m:r>
              <m:t>H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 </w:t>
      </w:r>
      <w:r>
        <w:t xml:space="preserve">(Equação (3.43)): de R$ 855 mil para R$ 930 mil e R$ 1,08 milhão com degradação de R$ 100 e R$ 200/MWh (acréscimos de R$ 75 mil e R$ 220 mil, contra R$ 73 mil e R$ 219 mil previstos), e para R$ 790 mil com 50 despachos por ano (redução de R$ 65 mil, contra R$ 63 mil prevista). Esses resultados confirmam a aproximação da Equação (3.44): o lance mínimo de um BESS a construir corresponde ao custo anual equivalente do BESS por MW acrescido do custo de degradação imposto pelo despacho do ONS, com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nos casos avaliados. Com os valores avaliados, o lance mínimo situa-se entre R$ 780 mil e R$ 1,25 milhão/(MW·ano), e sua incerteza decorre principalmente do custo de investimento, da taxa de desconto e da degradação da bateria.</w:t>
      </w:r>
    </w:p>
    <w:bookmarkEnd w:id="21"/>
    <w:bookmarkEnd w:id="22"/>
    <w:bookmarkStart w:id="51" w:name="Xcde85c54f79c458b3aea976799b86356d7ba359"/>
    <w:p>
      <w:pPr>
        <w:pStyle w:val="Heading2"/>
      </w:pPr>
      <w:r>
        <w:t xml:space="preserve">4.3 BESS disponível: quantidade a contratar e operação</w:t>
      </w:r>
    </w:p>
    <w:p>
      <w:pPr>
        <w:pStyle w:val="FirstParagraph"/>
      </w:pPr>
      <w:r>
        <w:t xml:space="preserve">Esta seção supõe que o BESS está disponível — porque já existe ou porque foi construído com receita fixa acima do lance mínimo — e analisa quanto de sua potência contratar no leilão e como o sistema opera. Os resultados utilizam a receita fixa de referência de R$ 600 mil/(MW·ano), inferior ao lance mínimo da Seção 4.2, mas a curva de oferta fornece a decisão para qualquer receita; acima do lance mínimo, ela indica a oferta de 57,5 a 60 MW. A análise identifica os mecanismos que determinam o custo de oportunidade da contratação e a sensibilidade da decisão às hipóteses de operação e de mercado.</w:t>
      </w:r>
    </w:p>
    <w:bookmarkStart w:id="26" w:name="X56b8d8d6087674c35fe11f865ddd535a2471b8b"/>
    <w:p>
      <w:pPr>
        <w:pStyle w:val="Heading3"/>
      </w:pPr>
      <w:r>
        <w:t xml:space="preserve">4.3.1 Decisão de contratação no modelo estocástico</w:t>
      </w:r>
    </w:p>
    <w:p>
      <w:pPr>
        <w:pStyle w:val="FirstParagraph"/>
      </w:pPr>
      <w:r>
        <w:t xml:space="preserve">A Figura 4.4(a) apresenta o lucro anual de cada cenário, o lucro esperado e o CVaR em função da potência contratada no LRCAP. Participar do leilão é vantajoso em todos os cenários: a contratação do mínimo regulatório de 30 MW eleva o lucro esperado de R$ 45,0 milhões para R$ 60,7 milhões por ano, um acréscimo de 35%. A partir desse ponto, o lucro esperado continua a crescer, porém a taxas decrescentes, até um máximo e decresce em seguida, quando a potência contratada passa a retirar do módulo mercantil a capacidade que abastece o eletrolisador durante a noite.</w:t>
      </w:r>
    </w:p>
    <w:p>
      <w:pPr>
        <w:pStyle w:val="Legenda"/>
      </w:pPr>
      <w:r>
        <w:t xml:space="preserve">Figura 4.4 – Lucro anual em função da potência contratada no LRCAP: (a) por cenário, lucro esperado e CVaR; (b) por cenário, para quatro decisões de contratação</w:t>
      </w:r>
    </w:p>
    <w:p>
      <w:pPr>
        <w:pStyle w:val="Figura"/>
      </w:pPr>
      <w:r>
        <w:drawing>
          <wp:inline>
            <wp:extent cx="5334000" cy="196291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as/estocastico_unifei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ótimo, assinalado na Figura 4.4, é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54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MW, com lucro esperado de R$ 68,12 milhões por ano, obtido com tolerância de convergência de 0,01%. Com a tolerância de 0,1% usada inicialmente, o algoritmo de Benders havia encerrado em 53,4 MW, com lucro esperado apenas R$ 20 mil inferior. A diferença ilustra uma característica central do problema: a função de lucro é muito plana na vizinhança do ótimo, com variação inferior a 0,4% entre 50 e 56 MW. Do ponto de vista prático, a decisão relevante é contratar entre 50 e 55 MW; a localização exata do máximo é menos importante do que as hipóteses que o determinam, examinadas nas subseções seguintes.</w:t>
      </w:r>
    </w:p>
    <w:p>
      <w:pPr>
        <w:pStyle w:val="BodyText"/>
      </w:pPr>
      <w:r>
        <w:t xml:space="preserve">O lucro por cenário na potência ótima é apresentado na Tabela 4.5. O pior cenário é 2022, ano em que o PLD permaneceu próximo do piso regulatório, e o melhor, 2021, ano da crise hídrica. A diferença entre eles, de cerca de R$ 8 milhões por ano, é pequena diante do ganho proporcionado pela participação no leilão.</w:t>
      </w:r>
    </w:p>
    <w:p>
      <w:pPr>
        <w:pStyle w:val="Legenda"/>
      </w:pPr>
      <w:r>
        <w:t xml:space="preserve">Tabela 4.5 – Lucro anual por cenário na potência ótima (54,4 MW)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CVaR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Lucro (R$ milhões/ano)</w:t>
            </w:r>
          </w:p>
        </w:tc>
        <w:tc>
          <w:tcPr/>
          <w:p>
            <w:pPr>
              <w:pStyle w:val="Compact"/>
            </w:pPr>
            <w:r>
              <w:t xml:space="preserve">73,47</w:t>
            </w:r>
          </w:p>
        </w:tc>
        <w:tc>
          <w:tcPr/>
          <w:p>
            <w:pPr>
              <w:pStyle w:val="Compact"/>
            </w:pPr>
            <w:r>
              <w:t xml:space="preserve">65,38</w:t>
            </w:r>
          </w:p>
        </w:tc>
        <w:tc>
          <w:tcPr/>
          <w:p>
            <w:pPr>
              <w:pStyle w:val="Compact"/>
            </w:pPr>
            <w:r>
              <w:t xml:space="preserve">66,58</w:t>
            </w:r>
          </w:p>
        </w:tc>
        <w:tc>
          <w:tcPr/>
          <w:p>
            <w:pPr>
              <w:pStyle w:val="Compact"/>
            </w:pPr>
            <w:r>
              <w:t xml:space="preserve">67,40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68,12</w:t>
            </w:r>
          </w:p>
        </w:tc>
        <w:tc>
          <w:tcPr/>
          <w:p>
            <w:pPr>
              <w:pStyle w:val="Compact"/>
            </w:pPr>
            <w:r>
              <w:t xml:space="preserve">65,38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 fronteira entre risco e retorno, obtida com pesos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;</m:t>
        </m:r>
        <m:r>
          <m:t> 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para o CVaR, degenerou em um único ponto: a mesma potência maximiza o lucro esperado e o lucro do pior ano, com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inferior a 0,07% em todos os casos. Não há, portanto, troca entre risco e retorno nesta configuração, pois a dispersão entre os cenários pouco depende da decisão de contratação, como se observa na Figura 4.4(b): as barras de cada decisão se deslocam praticamente em paralelo entre os anos.</w:t>
      </w:r>
    </w:p>
    <w:p>
      <w:pPr>
        <w:pStyle w:val="BodyText"/>
      </w:pPr>
      <w:r>
        <w:t xml:space="preserve">A composição do lucro médio na potência de 55 MW, ponto da grade da Seção 3.8 mais próximo do ótimo, é: R$ 33,0 milhões de receita fixa do LRCAP, R$ 36,0 milhões de receita com hidrogênio e R$ 5,1 milhões no MCP, deduzidos R$ 4,4 milhões de degradação do BESS e R$ 1,6 milhão de custos variáveis de produção de hidrogênio. O eletrolisador consome 56,6 GWh por ano, cerca de três quartos da energia FV disponível, com fator de capacidade de 0,37, e produz 1.029 t de hidrogênio; os 19,4 GWh restantes são exportados ao MCP. Esse resultado antecipa a principal conclusão da Subseção 4.3.4: com o hidrogênio vendido sem limite de volume a R$ 35/kg, cada MWh destinado ao eletrolisador vale cerca de R$ 609, e o MCP tem papel secundário na operação.</w:t>
      </w:r>
    </w:p>
    <w:bookmarkEnd w:id="26"/>
    <w:bookmarkStart w:id="27" w:name="X803239abd151ab68ada138485f7ac164ea0f3ed"/>
    <w:p>
      <w:pPr>
        <w:pStyle w:val="Heading3"/>
      </w:pPr>
      <w:r>
        <w:t xml:space="preserve">4.3.2 Valor da solução estocástica e valor esperado da informação perfeita</w:t>
      </w:r>
    </w:p>
    <w:p>
      <w:pPr>
        <w:pStyle w:val="FirstParagraph"/>
      </w:pPr>
      <w:r>
        <w:t xml:space="preserve">A Tabela 4.6 compara a decisão estocástica (RP) com a decisão obtida no ano médio (EV) e com a solução espera-e-vê (WS), calculadas segundo a Seção 3.7.4.</w:t>
      </w:r>
    </w:p>
    <w:p>
      <w:pPr>
        <w:pStyle w:val="Legenda"/>
      </w:pPr>
      <w:r>
        <w:t xml:space="preserve">Tabela 4.6 – Decisões e lucro anual por cenário para o cálculo do VSS e do EVPI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9"/>
        <w:gridCol w:w="1677"/>
        <w:gridCol w:w="652"/>
        <w:gridCol w:w="652"/>
        <w:gridCol w:w="652"/>
        <w:gridCol w:w="652"/>
        <w:gridCol w:w="652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P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 (estocástica)</w:t>
            </w:r>
          </w:p>
        </w:tc>
        <w:tc>
          <w:tcPr/>
          <w:p>
            <w:pPr>
              <w:pStyle w:val="Compact"/>
            </w:pPr>
            <w:r>
              <w:t xml:space="preserve">54,38</w:t>
            </w:r>
          </w:p>
        </w:tc>
        <w:tc>
          <w:tcPr/>
          <w:p>
            <w:pPr>
              <w:pStyle w:val="Compact"/>
            </w:pPr>
            <w:r>
              <w:t xml:space="preserve">73,47</w:t>
            </w:r>
          </w:p>
        </w:tc>
        <w:tc>
          <w:tcPr/>
          <w:p>
            <w:pPr>
              <w:pStyle w:val="Compact"/>
            </w:pPr>
            <w:r>
              <w:t xml:space="preserve">65,38</w:t>
            </w:r>
          </w:p>
        </w:tc>
        <w:tc>
          <w:tcPr/>
          <w:p>
            <w:pPr>
              <w:pStyle w:val="Compact"/>
            </w:pPr>
            <w:r>
              <w:t xml:space="preserve">66,58</w:t>
            </w:r>
          </w:p>
        </w:tc>
        <w:tc>
          <w:tcPr/>
          <w:p>
            <w:pPr>
              <w:pStyle w:val="Compact"/>
            </w:pPr>
            <w:r>
              <w:t xml:space="preserve">67,40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(ano médio)</w:t>
            </w:r>
          </w:p>
        </w:tc>
        <w:tc>
          <w:tcPr/>
          <w:p>
            <w:pPr>
              <w:pStyle w:val="Compact"/>
            </w:pPr>
            <w:r>
              <w:t xml:space="preserve">54,34</w:t>
            </w:r>
          </w:p>
        </w:tc>
        <w:tc>
          <w:tcPr/>
          <w:p>
            <w:pPr>
              <w:pStyle w:val="Compact"/>
            </w:pPr>
            <w:r>
              <w:t xml:space="preserve">73,46</w:t>
            </w:r>
          </w:p>
        </w:tc>
        <w:tc>
          <w:tcPr/>
          <w:p>
            <w:pPr>
              <w:pStyle w:val="Compact"/>
            </w:pPr>
            <w:r>
              <w:t xml:space="preserve">65,39</w:t>
            </w:r>
          </w:p>
        </w:tc>
        <w:tc>
          <w:tcPr/>
          <w:p>
            <w:pPr>
              <w:pStyle w:val="Compact"/>
            </w:pPr>
            <w:r>
              <w:t xml:space="preserve">66,58</w:t>
            </w:r>
          </w:p>
        </w:tc>
        <w:tc>
          <w:tcPr/>
          <w:p>
            <w:pPr>
              <w:pStyle w:val="Compact"/>
            </w:pPr>
            <w:r>
              <w:t xml:space="preserve">67,40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 (por cenário)</w:t>
            </w:r>
          </w:p>
        </w:tc>
        <w:tc>
          <w:tcPr/>
          <w:p>
            <w:pPr>
              <w:pStyle w:val="Compact"/>
            </w:pPr>
            <w:r>
              <w:t xml:space="preserve">60,0 / 51,5 / 51,0 / 52,7 / 54,6</w:t>
            </w:r>
          </w:p>
        </w:tc>
        <w:tc>
          <w:tcPr/>
          <w:p>
            <w:pPr>
              <w:pStyle w:val="Compact"/>
            </w:pPr>
            <w:r>
              <w:t xml:space="preserve">73,95</w:t>
            </w:r>
          </w:p>
        </w:tc>
        <w:tc>
          <w:tcPr/>
          <w:p>
            <w:pPr>
              <w:pStyle w:val="Compact"/>
            </w:pPr>
            <w:r>
              <w:t xml:space="preserve">65,47</w:t>
            </w:r>
          </w:p>
        </w:tc>
        <w:tc>
          <w:tcPr/>
          <w:p>
            <w:pPr>
              <w:pStyle w:val="Compact"/>
            </w:pPr>
            <w:r>
              <w:t xml:space="preserve">66,70</w:t>
            </w:r>
          </w:p>
        </w:tc>
        <w:tc>
          <w:tcPr/>
          <w:p>
            <w:pPr>
              <w:pStyle w:val="Compact"/>
            </w:pPr>
            <w:r>
              <w:t xml:space="preserve">67,44</w:t>
            </w:r>
          </w:p>
        </w:tc>
        <w:tc>
          <w:tcPr/>
          <w:p>
            <w:pPr>
              <w:pStyle w:val="Compact"/>
            </w:pPr>
            <w:r>
              <w:t xml:space="preserve">67,77</w:t>
            </w:r>
          </w:p>
        </w:tc>
        <w:tc>
          <w:tcPr/>
          <w:p>
            <w:pPr>
              <w:pStyle w:val="Compact"/>
            </w:pPr>
            <w:r>
              <w:t xml:space="preserve">68,266</w:t>
            </w:r>
          </w:p>
        </w:tc>
      </w:tr>
    </w:tbl>
    <w:p>
      <w:pPr>
        <w:pStyle w:val="Fonte"/>
      </w:pPr>
      <w:r>
        <w:t xml:space="preserve">Fonte: elaborado pelo autor. Lucros em R$ milhões/ano.</w:t>
      </w:r>
    </w:p>
    <w:p>
      <w:pPr>
        <w:pStyle w:val="BodyText"/>
      </w:pPr>
      <w:r>
        <w:t xml:space="preserve">O VSS resultou em cerca de R$ 300 por ano (menos de 0,001% do RP), valor inferior à tolerância de convergência e, portanto, indistinguível de zero. A decisão obtida no ano médio coincide, para efeitos práticos, com a decisão estocástica. O EVPI foi de R$ 145 mil por ano (0,21% do RP), com limite superior de R$ 161 mil. Quase toda a perda decorre do cenário de 2021, no qual a decisão ótima com informação perfeita seria contratar toda a potência do BESS (60 MW); nos demais anos, as decisões ótimas situam-se entre 51 e 55 MW.</w:t>
      </w:r>
    </w:p>
    <w:p>
      <w:pPr>
        <w:pStyle w:val="BodyText"/>
      </w:pPr>
      <w:r>
        <w:t xml:space="preserve">Dois aspectos merecem destaque. Primeiro, embora o ano médio conduza à decisão correta, ele superestima o lucro: o valor ótimo do problema EV foi de R$ 68,89 milhões, contra R$ 68,12 milhões do EEV. A diferença, de cerca de R$ 0,8 milhão por ano, resulta da suavização dos picos e vales de preço e de irradiância pela média hora a hora, e confirma que o ano médio não deve ser usado para estimar a receita do empreendimento. Segundo, os baixos valores de VSS e de EVPI indicam que a incerteza modelada — a variação de preço e de geração entre anos — tem pouco efeito sobre a decisão de contratação. As subseções seguintes mostram que outras hipóteses, não representadas nos cenários, têm efeito muito maior.</w:t>
      </w:r>
    </w:p>
    <w:bookmarkEnd w:id="27"/>
    <w:bookmarkStart w:id="31" w:name="curva-de-oferta"/>
    <w:p>
      <w:pPr>
        <w:pStyle w:val="Heading3"/>
      </w:pPr>
      <w:r>
        <w:t xml:space="preserve">4.3.3 Curva de oferta</w:t>
      </w:r>
    </w:p>
    <w:p>
      <w:pPr>
        <w:pStyle w:val="FirstParagraph"/>
      </w:pPr>
      <w:r>
        <w:t xml:space="preserve">A Figura 4.5 apresenta o resultado do procedimento da Seção 3.8 para os cinco casos de contrato de hidrogênio e de importação do Quadro 3.2. No caso de referência (curvas em azul), o custo de oportunidade marginal cresce de forma acentuada com a potência contratada: até 37,5 MW, cada MW adicional custa menos de R$ 100 mil/(MW·ano), enquanto os últimos 5 MW custam entre R$ 760 mil e R$ 900 mil/(MW·ano) (Figura 4.5(b)). A receita mínima de entrada é de R$ 76 mil/(MW·ano) e a receita necessária para ofertar toda a potência do BESS é de R$ 895 mil/(MW·ano).</w:t>
      </w:r>
    </w:p>
    <w:p>
      <w:pPr>
        <w:pStyle w:val="Legenda"/>
      </w:pPr>
      <w:r>
        <w:t xml:space="preserve">Figura 4.5 – Curva de oferta no LRCAP para os casos de contrato de hidrogênio e de importação: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as/curva_ofert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formato da curva decorre da divisão do BESS entre os módulos. Até cerca de 37,5 MW contratados, o módulo mercantil retém energia e potência suficientes para deslocar a geração FV excedente para o eletrolisador nas horas noturnas, e a contratação adicional retira apenas a capacidade de menor valor. A partir desse ponto, cada MW contratado reduz em 4,8 MWh a energia e em 1 MW a potência do módulo mercantil, que se aproxima de zero quando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tende a 60 MW, e o eletrolisador deixa de operar à noite. A Figura 4.5(c) traduz essa relação em uma curva de oferta escalonada: para receitas entre R$ 80 mil e R$ 300 mil/(MW·ano), o empreendedor ofertaria entre 35 e 42,5 MW; para R$ 600 mil, 55 MW; e somente acima de cerca de R$ 900 mil ofertaria toda a capacidade.</w:t>
      </w:r>
    </w:p>
    <w:p>
      <w:pPr>
        <w:pStyle w:val="BodyText"/>
      </w:pPr>
      <w:r>
        <w:t xml:space="preserve">Esse resultado tem duas implicações para o proponente. A decisão de participar do leilão é robusta, pois o limiar de entrada é baixo em todos os casos avaliados (R$ 76 mil a R$ 96 mil/(MW·ano)), muito inferior a qualquer receita fixa plausível para sistemas de armazenamento. Por outro lado, a quantidade a ofertar acima de cerca de 40 MW é sensível tanto ao preço quanto às hipóteses sobre o hidrogênio, como mostra a subseção seguinte.</w:t>
      </w:r>
    </w:p>
    <w:bookmarkEnd w:id="31"/>
    <w:bookmarkStart w:id="32" w:name="Xecdbf8e9b0c8cf7cf478028b36aa5fe92ae5811"/>
    <w:p>
      <w:pPr>
        <w:pStyle w:val="Heading3"/>
      </w:pPr>
      <w:r>
        <w:t xml:space="preserve">4.3.4 Contrato de hidrogênio e importação de energia</w:t>
      </w:r>
    </w:p>
    <w:p>
      <w:pPr>
        <w:pStyle w:val="FirstParagraph"/>
      </w:pPr>
      <w:r>
        <w:t xml:space="preserve">A Tabela 4.7 resume, para a receita fixa de referência, a potência ótima, o lucro e a operação média de cada caso.</w:t>
      </w:r>
    </w:p>
    <w:p>
      <w:pPr>
        <w:pStyle w:val="Legenda"/>
      </w:pPr>
      <w:r>
        <w:t xml:space="preserve">Tabela 4.7 – Potência ótima, lucro e operação média nos casos de contrato de hidrogênio e de importação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056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Contrato 2 t/dia</w:t>
            </w:r>
          </w:p>
        </w:tc>
        <w:tc>
          <w:tcPr/>
          <w:p>
            <w:pPr>
              <w:pStyle w:val="Compact"/>
            </w:pPr>
            <w:r>
              <w:t xml:space="preserve">Contrato 3 t/dia</w:t>
            </w:r>
          </w:p>
        </w:tc>
        <w:tc>
          <w:tcPr/>
          <w:p>
            <w:pPr>
              <w:pStyle w:val="Compact"/>
            </w:pPr>
            <w:r>
              <w:t xml:space="preserve">Importação</w:t>
            </w:r>
          </w:p>
        </w:tc>
        <w:tc>
          <w:tcPr/>
          <w:p>
            <w:pPr>
              <w:pStyle w:val="Compact"/>
            </w:pPr>
            <w:r>
              <w:t xml:space="preserve">Importação e contrato 3 t/dia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61,8</w:t>
            </w:r>
          </w:p>
        </w:tc>
        <w:tc>
          <w:tcPr/>
          <w:p>
            <w:pPr>
              <w:pStyle w:val="Compact"/>
            </w:pPr>
            <w:r>
              <w:t xml:space="preserve">65,5</w:t>
            </w:r>
          </w:p>
        </w:tc>
        <w:tc>
          <w:tcPr/>
          <w:p>
            <w:pPr>
              <w:pStyle w:val="Compact"/>
            </w:pPr>
            <w:r>
              <w:t xml:space="preserve">88,5</w:t>
            </w:r>
          </w:p>
        </w:tc>
        <w:tc>
          <w:tcPr/>
          <w:p>
            <w:pPr>
              <w:pStyle w:val="Compact"/>
            </w:pPr>
            <w:r>
              <w:t xml:space="preserve">68,9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no MCP (R$ mi/ano)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6,1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de H₂ (R$ mi/ano)</w:t>
            </w:r>
          </w:p>
        </w:tc>
        <w:tc>
          <w:tcPr/>
          <w:p>
            <w:pPr>
              <w:pStyle w:val="Compact"/>
            </w:pPr>
            <w:r>
              <w:t xml:space="preserve">36,0</w:t>
            </w:r>
          </w:p>
        </w:tc>
        <w:tc>
          <w:tcPr/>
          <w:p>
            <w:pPr>
              <w:pStyle w:val="Compact"/>
            </w:pPr>
            <w:r>
              <w:t xml:space="preserve">25,4</w:t>
            </w:r>
          </w:p>
        </w:tc>
        <w:tc>
          <w:tcPr/>
          <w:p>
            <w:pPr>
              <w:pStyle w:val="Compact"/>
            </w:pPr>
            <w:r>
              <w:t xml:space="preserve">37,0</w:t>
            </w:r>
          </w:p>
        </w:tc>
        <w:tc>
          <w:tcPr/>
          <w:p>
            <w:pPr>
              <w:pStyle w:val="Compact"/>
            </w:pPr>
            <w:r>
              <w:t xml:space="preserve">89,4</w:t>
            </w:r>
          </w:p>
        </w:tc>
        <w:tc>
          <w:tcPr/>
          <w:p>
            <w:pPr>
              <w:pStyle w:val="Compact"/>
            </w:pPr>
            <w:r>
              <w:t xml:space="preserve">38,3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importação (R$ mi/ano)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34,7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exportada (GWh/ano)</w:t>
            </w:r>
          </w:p>
        </w:tc>
        <w:tc>
          <w:tcPr/>
          <w:p>
            <w:pPr>
              <w:pStyle w:val="Compact"/>
            </w:pPr>
            <w:r>
              <w:t xml:space="preserve">19,4</w:t>
            </w:r>
          </w:p>
        </w:tc>
        <w:tc>
          <w:tcPr/>
          <w:p>
            <w:pPr>
              <w:pStyle w:val="Compact"/>
            </w:pPr>
            <w:r>
              <w:t xml:space="preserve">36,9</w:t>
            </w:r>
          </w:p>
        </w:tc>
        <w:tc>
          <w:tcPr/>
          <w:p>
            <w:pPr>
              <w:pStyle w:val="Compact"/>
            </w:pPr>
            <w:r>
              <w:t xml:space="preserve">18,1</w:t>
            </w:r>
          </w:p>
        </w:tc>
        <w:tc>
          <w:tcPr/>
          <w:p>
            <w:pPr>
              <w:pStyle w:val="Compact"/>
            </w:pPr>
            <w:r>
              <w:t xml:space="preserve">28,2</w:t>
            </w:r>
          </w:p>
        </w:tc>
        <w:tc>
          <w:tcPr/>
          <w:p>
            <w:pPr>
              <w:pStyle w:val="Compact"/>
            </w:pPr>
            <w:r>
              <w:t xml:space="preserve">25,4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importada (GWh/ano)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91,8</w:t>
            </w:r>
          </w:p>
        </w:tc>
        <w:tc>
          <w:tcPr/>
          <w:p>
            <w:pPr>
              <w:pStyle w:val="Compact"/>
            </w:pPr>
            <w:r>
              <w:t xml:space="preserve">8,7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 vendido (t/ano)</w:t>
            </w:r>
          </w:p>
        </w:tc>
        <w:tc>
          <w:tcPr/>
          <w:p>
            <w:pPr>
              <w:pStyle w:val="Compact"/>
            </w:pPr>
            <w:r>
              <w:t xml:space="preserve">1.029</w:t>
            </w:r>
          </w:p>
        </w:tc>
        <w:tc>
          <w:tcPr/>
          <w:p>
            <w:pPr>
              <w:pStyle w:val="Compact"/>
            </w:pPr>
            <w:r>
              <w:t xml:space="preserve">727</w:t>
            </w:r>
          </w:p>
        </w:tc>
        <w:tc>
          <w:tcPr/>
          <w:p>
            <w:pPr>
              <w:pStyle w:val="Compact"/>
            </w:pPr>
            <w:r>
              <w:t xml:space="preserve">1.056</w:t>
            </w:r>
          </w:p>
        </w:tc>
        <w:tc>
          <w:tcPr/>
          <w:p>
            <w:pPr>
              <w:pStyle w:val="Compact"/>
            </w:pPr>
            <w:r>
              <w:t xml:space="preserve">2.553</w:t>
            </w:r>
          </w:p>
        </w:tc>
        <w:tc>
          <w:tcPr/>
          <w:p>
            <w:pPr>
              <w:pStyle w:val="Compact"/>
            </w:pPr>
            <w:r>
              <w:t xml:space="preserve">1.096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Déficit contratual de H₂ (t/ano)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39,6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Fator de capacidade do eletrolisador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  <w:tc>
          <w:tcPr/>
          <w:p>
            <w:pPr>
              <w:pStyle w:val="Compact"/>
            </w:pPr>
            <w:r>
              <w:t xml:space="preserve">0,26</w:t>
            </w:r>
          </w:p>
        </w:tc>
        <w:tc>
          <w:tcPr/>
          <w:p>
            <w:pPr>
              <w:pStyle w:val="Compact"/>
            </w:pPr>
            <w:r>
              <w:t xml:space="preserve">0,38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  <w:tc>
          <w:tcPr/>
          <w:p>
            <w:pPr>
              <w:pStyle w:val="Compact"/>
            </w:pPr>
            <w:r>
              <w:t xml:space="preserve">0,39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mínima de entrada (R$ mil/MW·ano)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marginal do último MW (R$ mil/MW·ano)</w:t>
            </w:r>
          </w:p>
        </w:tc>
        <w:tc>
          <w:tcPr/>
          <w:p>
            <w:pPr>
              <w:pStyle w:val="Compact"/>
            </w:pPr>
            <w:r>
              <w:t xml:space="preserve">895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2.037</w:t>
            </w:r>
          </w:p>
        </w:tc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t xml:space="preserve">406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rPr>
          <w:b/>
          <w:bCs/>
        </w:rPr>
        <w:t xml:space="preserve">Contrato de 2 t/dia.</w:t>
      </w:r>
      <w:r>
        <w:t xml:space="preserve"> </w:t>
      </w:r>
      <w:r>
        <w:t xml:space="preserve">Com um volume diário inferior à produção do caso de referência, o hidrogênio excedente não encontra comprador e a energia correspondente é exportada ao MCP, cuja energia praticamente dobra (de 19,4 para 36,9 GWh). O módulo mercantil perde a função de abastecer o eletrolisador à noite, e seu valor passa a ser o da arbitragem de preços no MCP, muito inferior. O custo de oportunidade do último MW cai de R$ 895 mil para R$ 172 mil/(MW·ano), e o ótimo passa a ser contratar toda a potência. O lucro diminui R$ 6,3 milhões por ano em relação ao caso de referência, refletindo a menor venda de hidrogênio.</w:t>
      </w:r>
    </w:p>
    <w:p>
      <w:pPr>
        <w:pStyle w:val="BodyText"/>
      </w:pPr>
      <w:r>
        <w:rPr>
          <w:b/>
          <w:bCs/>
        </w:rPr>
        <w:t xml:space="preserve">Contrato de 3 t/dia.</w:t>
      </w:r>
      <w:r>
        <w:t xml:space="preserve"> </w:t>
      </w:r>
      <w:r>
        <w:t xml:space="preserve">Com um volume próximo da produção média do caso de referência, porém firme em todos os dias, o BESS passa a garantir a entrega nos dias e nas horas de menor geração. Mesmo assim, há um déficit de 40 t por ano (3,6% do volume contratado), concentrado nos períodos de menor irradiância, e a multa correspondente, de R$ 1,4 milhão por ano, responde por cerca de metade da redução do lucro em relação ao caso de referência (R$ 2,6 milhões por ano). A curva de custo de oportunidade torna-se ainda mais íngreme no extremo superior: o último MW custa cerca de R$ 2,0 milhões/(MW·ano) — entre R$ 1,9 milhão e R$ 2,1 milhões, considerados os limites inferior e superior do lucro (Subseção 4.1) —, pois sua contratação eliminaria a potência do módulo mercantil e aumentaria o déficit, cujo custo efetivo é de R$ 70 por kg — R$ 35 de multa e R$ 35 de venda perdida (Seção 3.4.5). A potência ótima permanece em 55 MW. Esses valores do extremo superior da curva dependem, portanto, diretamente da multa adotada, que torna o contrato praticamente firme.</w:t>
      </w:r>
    </w:p>
    <w:p>
      <w:pPr>
        <w:pStyle w:val="BodyText"/>
      </w:pPr>
      <w:r>
        <w:rPr>
          <w:b/>
          <w:bCs/>
        </w:rPr>
        <w:t xml:space="preserve">Importação de energia.</w:t>
      </w:r>
      <w:r>
        <w:t xml:space="preserve"> </w:t>
      </w:r>
      <w:r>
        <w:t xml:space="preserve">Quando a importação é permitida, o eletrolisador é suprido pela rede nas horas de PLD baixo, inclusive à noite, e seu fator de capacidade sobe de 0,37 para 0,92. A produção de hidrogênio mais que dobra e o lucro aumenta R$ 20,4 milhões por ano, mesmo com o custo adicional de R$ 250/MWh sobre a energia importada. Como a rede substitui o BESS no suprimento noturno do eletrolisador, o módulo mercantil perde valor e o ótimo passa a ser contratar toda a potência. Cerca de 65% da energia consumida pelo eletrolisador provém da rede nesse caso, o que torna a qualificação do hidrogênio dependente do critério regulatório adotado — de intensidade de emissões ou de origem física da energia.</w:t>
      </w:r>
    </w:p>
    <w:p>
      <w:pPr>
        <w:pStyle w:val="BodyText"/>
      </w:pPr>
      <w:r>
        <w:rPr>
          <w:b/>
          <w:bCs/>
        </w:rPr>
        <w:t xml:space="preserve">Importação com contrato de 3 t/dia.</w:t>
      </w:r>
      <w:r>
        <w:t xml:space="preserve"> </w:t>
      </w:r>
      <w:r>
        <w:t xml:space="preserve">A combinação das duas hipóteses mostra que o ganho da importação depende da existência de demanda: com o volume limitado pelo contrato, a importação restringe-se a 8,7 GWh por ano, usados para eliminar o déficit de entrega, e o lucro supera o do caso de referência em apenas R$ 0,8 milhão por ano.</w:t>
      </w:r>
    </w:p>
    <w:p>
      <w:pPr>
        <w:pStyle w:val="BodyText"/>
      </w:pPr>
      <w:r>
        <w:t xml:space="preserve">Esses resultados indicam que a troca entre o LRCAP e o MCP só se manifesta plenamente quando a demanda de hidrogênio é limitada. Sem limite de volume, a troca relevante é entre o LRCAP e a produção de hidrogênio, mediada pelo módulo mercantil do BESS; a regra de suprimento do eletrolisador é, entre as hipóteses avaliadas, a de maior efeito sobre o lucro.</w:t>
      </w:r>
    </w:p>
    <w:bookmarkEnd w:id="32"/>
    <w:bookmarkStart w:id="36" w:name="frequência-do-despacho-do-ons"/>
    <w:p>
      <w:pPr>
        <w:pStyle w:val="Heading3"/>
      </w:pPr>
      <w:r>
        <w:t xml:space="preserve">4.3.5 Frequência do despacho do ONS</w:t>
      </w:r>
    </w:p>
    <w:p>
      <w:pPr>
        <w:pStyle w:val="FirstParagraph"/>
      </w:pPr>
      <w:r>
        <w:t xml:space="preserve">A Figura 4.6 e a Tabela 4.8 apresentam a curva de oferta do caso de referência para 50, 150 e 365 despachos por ano.</w:t>
      </w:r>
    </w:p>
    <w:p>
      <w:pPr>
        <w:pStyle w:val="Legenda"/>
      </w:pPr>
      <w:r>
        <w:t xml:space="preserve">Figura 4.6 – Curva de oferta no LRCAP para diferentes frequências de despacho do ONS: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as/curva_oferta_ciclo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4.8 – Efeito da frequência do despacho do ONS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Despachos por ano</w:t>
            </w:r>
          </w:p>
        </w:tc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Degradação do BESS (R$ mi/ano)</w:t>
            </w:r>
          </w:p>
        </w:tc>
        <w:tc>
          <w:tcPr/>
          <w:p>
            <w:pPr>
              <w:pStyle w:val="Compact"/>
            </w:pPr>
            <w:r>
              <w:t xml:space="preserve">Receita mínima de entrada (R$ mil/MW·ano)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71,6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70,5</w:t>
            </w:r>
          </w:p>
        </w:tc>
        <w:tc>
          <w:tcPr/>
          <w:p>
            <w:pPr>
              <w:pStyle w:val="Compac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As receitas no MCP e com hidrogênio são idênticas nos três casos, de modo que a frequência do despacho não altera a operação do lado mercantil. A única diferença está no custo de degradação do módulo LRCAP, e as curvas de custo de oportunidade marginal da Figura 4.6(b) são deslocadas em paralelo por exatamente</w:t>
      </w:r>
      <w:r>
        <w:t xml:space="preserve"> </w:t>
      </w:r>
      <m:oMath>
        <m:sSup>
          <m:e>
            <m:r>
              <m:t>c</m:t>
            </m:r>
          </m:e>
          <m:sup>
            <m:r>
              <m:t>d</m:t>
            </m:r>
            <m:r>
              <m:t>e</m:t>
            </m:r>
            <m:r>
              <m:t>g</m:t>
            </m:r>
          </m:sup>
        </m:sSup>
        <m:sSup>
          <m:e>
            <m:r>
              <m:t>H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Δ</m:t>
        </m:r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: R$ 43 mil/(MW·ano) entre 150 e 365 despachos e R$ 63 mil/(MW·ano) entre 50 e 365 despachos, como previsto pela Equação (3.43). O efeito do ponto de conexão compartilhado mostrou-se, portanto, desprezível.</w:t>
      </w:r>
    </w:p>
    <w:p>
      <w:pPr>
        <w:pStyle w:val="BodyText"/>
      </w:pPr>
      <w:r>
        <w:t xml:space="preserve">Em consequência, a frequência do despacho, embora desconhecida, não altera a potência ótima para a receita de referência e afeta apenas o limiar de entrada e o lucro. Como seu efeito é linear e pode ser calculado diretamente, sem simulação, essa incerteza pode ser incorporada à análise como um custo por MW contratado — por exemplo, como componente do lance mínimo —, sem a necessidade de cenários adicionais no modelo de operação.</w:t>
      </w:r>
    </w:p>
    <w:bookmarkEnd w:id="36"/>
    <w:bookmarkStart w:id="43" w:name="custo-de-degradação-e-dimensionamento"/>
    <w:p>
      <w:pPr>
        <w:pStyle w:val="Heading3"/>
      </w:pPr>
      <w:r>
        <w:t xml:space="preserve">4.3.6 Custo de degradação e dimensionamento</w:t>
      </w:r>
    </w:p>
    <w:p>
      <w:pPr>
        <w:pStyle w:val="FirstParagraph"/>
      </w:pPr>
      <w:r>
        <w:t xml:space="preserve">Esta subseção avalia duas hipóteses que poderiam alterar as conclusões anteriores: o custo de degradação do BESS e o dimensionamento do eletrolisador e do tanque de hidrogênio.</w:t>
      </w:r>
    </w:p>
    <w:p>
      <w:pPr>
        <w:pStyle w:val="BodyText"/>
      </w:pPr>
      <w:r>
        <w:rPr>
          <w:b/>
          <w:bCs/>
        </w:rPr>
        <w:t xml:space="preserve">Custo de degradação.</w:t>
      </w:r>
      <w:r>
        <w:t xml:space="preserve"> </w:t>
      </w:r>
      <w:r>
        <w:t xml:space="preserve">A Figura 4.7 e a Tabela 4.9 apresentam a curva de oferta para custos de degradação de R$ 50, R$ 100 e R$ 200/MWh, os dois últimos próximos da faixa estimada a partir do custo de reposição dos módulos (Seção 3.5).</w:t>
      </w:r>
    </w:p>
    <w:p>
      <w:pPr>
        <w:pStyle w:val="Legenda"/>
      </w:pPr>
      <w:r>
        <w:t xml:space="preserve">Figura 4.7 – Curva de oferta no LRCAP para diferentes custos de degradação do BESS: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as/curva_oferta_degradaca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4.9 – Efeito do custo de degradação do BESS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 de degradação (R$/MWh)</w:t>
            </w:r>
          </w:p>
        </w:tc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Receita mínima de entrada (R$ mil/MW·ano)</w:t>
            </w:r>
          </w:p>
        </w:tc>
        <w:tc>
          <w:tcPr/>
          <w:p>
            <w:pPr>
              <w:pStyle w:val="Compact"/>
            </w:pPr>
            <w:r>
              <w:t xml:space="preserve">Custo marginal do último MW (R$ mil/MW·ano)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63,7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52,5</w:t>
            </w:r>
          </w:p>
        </w:tc>
        <w:tc>
          <w:tcPr/>
          <w:p>
            <w:pPr>
              <w:pStyle w:val="Compact"/>
            </w:pPr>
            <w:r>
              <w:t xml:space="preserve">54,9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854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Quadruplicar o custo de degradação reduz o lucro em R$ 13,2 milhões por ano e quase quadruplica a receita mínima de entrada, mas desloca a potência ótima em apenas 2,5 MW. A razão está na Figura 4.7(b): o custo maior eleva o custo de oportunidade na faixa inferior da curva, onde predomina o desgaste do módulo LRCAP, despachado diariamente; na faixa superior, porém, também torna mais caro o uso mercantil da bateria, que é justamente o uso perdido ao se contratar mais potência, e os dois efeitos praticamente se compensam. A decisão de quanto ofertar é, portanto, robusta ao custo de degradação, enquanto a decisão de participar e o lucro esperado são sensíveis a ele.</w:t>
      </w:r>
    </w:p>
    <w:p>
      <w:pPr>
        <w:pStyle w:val="BodyText"/>
      </w:pPr>
      <w:r>
        <w:rPr>
          <w:b/>
          <w:bCs/>
        </w:rPr>
        <w:t xml:space="preserve">Tamanho do eletrolisador.</w:t>
      </w:r>
      <w:r>
        <w:t xml:space="preserve"> </w:t>
      </w:r>
      <w:r>
        <w:t xml:space="preserve">A Figura 4.8 e a Tabela 4.10 comparam eletrolisadores de 10, 17,5 e 25 MW, mantida a usina FV de 50 MWp.</w:t>
      </w:r>
    </w:p>
    <w:p>
      <w:pPr>
        <w:pStyle w:val="Legenda"/>
      </w:pPr>
      <w:r>
        <w:t xml:space="preserve">Figura 4.8 – Curva de oferta no LRCAP para diferentes potências do eletrolisador: (a) perda de lucro operacional esperado; (b) custo de oportunidade marginal; (c) potência ótima em função da receita fixa</w:t>
      </w:r>
    </w:p>
    <w:p>
      <w:pPr>
        <w:pStyle w:val="Figura"/>
      </w:pPr>
      <w:r>
        <w:drawing>
          <wp:inline>
            <wp:extent cx="5334000" cy="163576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as/curva_oferta_eletrolisad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Legenda"/>
      </w:pPr>
      <w:r>
        <w:t xml:space="preserve">Tabela 4.10 – Efeito da potência do eletrolisador (receita fixa de R$ 600 mil/(MW·ano))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Eletrolisador (MW)</w:t>
            </w:r>
          </w:p>
        </w:tc>
        <w:tc>
          <w:tcPr/>
          <w:p>
            <w:pPr>
              <w:pStyle w:val="Compact"/>
            </w:pPr>
            <w:r>
              <w:t xml:space="preserve">Potência ótima (MW)</w:t>
            </w:r>
          </w:p>
        </w:tc>
        <w:tc>
          <w:tcPr/>
          <w:p>
            <w:pPr>
              <w:pStyle w:val="Compact"/>
            </w:pPr>
            <w:r>
              <w:t xml:space="preserve">Lucro esperado (R$ mi/ano)</w:t>
            </w:r>
          </w:p>
        </w:tc>
        <w:tc>
          <w:tcPr/>
          <w:p>
            <w:pPr>
              <w:pStyle w:val="Compact"/>
            </w:pPr>
            <w:r>
              <w:t xml:space="preserve">H₂ vendido (t/ano)</w:t>
            </w:r>
          </w:p>
        </w:tc>
        <w:tc>
          <w:tcPr/>
          <w:p>
            <w:pPr>
              <w:pStyle w:val="Compact"/>
            </w:pPr>
            <w:r>
              <w:t xml:space="preserve">Fator de capacidade do eletrolisador</w:t>
            </w:r>
          </w:p>
        </w:tc>
        <w:tc>
          <w:tcPr/>
          <w:p>
            <w:pPr>
              <w:pStyle w:val="Compact"/>
            </w:pPr>
            <w:r>
              <w:t xml:space="preserve">Energia exportada (GWh/ano)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60,4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0,53</w:t>
            </w:r>
          </w:p>
        </w:tc>
        <w:tc>
          <w:tcPr/>
          <w:p>
            <w:pPr>
              <w:pStyle w:val="Compact"/>
            </w:pPr>
            <w:r>
              <w:t xml:space="preserve">28,4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17,5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68,1</w:t>
            </w:r>
          </w:p>
        </w:tc>
        <w:tc>
          <w:tcPr/>
          <w:p>
            <w:pPr>
              <w:pStyle w:val="Compact"/>
            </w:pPr>
            <w:r>
              <w:t xml:space="preserve">1.029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  <w:tc>
          <w:tcPr/>
          <w:p>
            <w:pPr>
              <w:pStyle w:val="Compact"/>
            </w:pPr>
            <w:r>
              <w:t xml:space="preserve">19,4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57,5</w:t>
            </w:r>
          </w:p>
        </w:tc>
        <w:tc>
          <w:tcPr/>
          <w:p>
            <w:pPr>
              <w:pStyle w:val="Compact"/>
            </w:pPr>
            <w:r>
              <w:t xml:space="preserve">73,5</w:t>
            </w:r>
          </w:p>
        </w:tc>
        <w:tc>
          <w:tcPr/>
          <w:p>
            <w:pPr>
              <w:pStyle w:val="Compact"/>
            </w:pPr>
            <w:r>
              <w:t xml:space="preserve">1.175</w:t>
            </w:r>
          </w:p>
        </w:tc>
        <w:tc>
          <w:tcPr/>
          <w:p>
            <w:pPr>
              <w:pStyle w:val="Compact"/>
            </w:pPr>
            <w:r>
              <w:t xml:space="preserve">0,30</w:t>
            </w:r>
          </w:p>
        </w:tc>
        <w:tc>
          <w:tcPr/>
          <w:p>
            <w:pPr>
              <w:pStyle w:val="Compact"/>
            </w:pPr>
            <w:r>
              <w:t xml:space="preserve">11,9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tamanho do eletrolisador altera a forma da curva de oferta. Com 25 MW, o eletrolisador absorve durante o dia a maior parte da geração FV, e o módulo mercantil tem pouco a deslocar para a noite: o custo de oportunidade permanece em torno de R$ 77 mil/(MW·ano) até 45 MW, e o ótimo para a receita de referência sobe para 57,5 MW. Com 10 MW, a geração FV excedente ao meio-dia é muito maior, a bateria mercantil é valiosa desde o mínimo regulatório e o custo de oportunidade já parte de R$ 330 mil/(MW·ano); o ótimo cai para 50 MW. A relação entre as potências do eletrolisador e da usina FV, herdada da planta da UNIFEI (0,35), é, portanto, uma hipótese de projeto com efeito relevante sobre a curva de oferta, e não apenas um parâmetro de escala.</w:t>
      </w:r>
    </w:p>
    <w:p>
      <w:pPr>
        <w:pStyle w:val="BodyText"/>
      </w:pPr>
      <w:r>
        <w:rPr>
          <w:b/>
          <w:bCs/>
        </w:rPr>
        <w:t xml:space="preserve">Tamanho do tanque.</w:t>
      </w:r>
      <w:r>
        <w:t xml:space="preserve"> </w:t>
      </w:r>
      <w:r>
        <w:t xml:space="preserve">No caso com contrato de 3 t/dia, a ampliação do tanque de hidrogênio de 2 t para 10 t reduz o déficit anual de entrega, com 55 MW contratados, de 40 t para 11 t, e eleva o lucro operacional esperado em R$ 1,6 milhão por ano. O tanque maior guarda o hidrogênio produzido nos dias de alta irradiância para os dias nublados, função que, com o tanque de 2 t, cabia ao módulo mercantil do BESS. Por isso, o custo de oportunidade marginal entre 30 e 50 MW cai de R$ 100–169 mil para R$ 85–126 mil/(MW·ano), e o lance mínimo para construir o BESS cai de R$ 795 mil para R$ 765 mil/(MW·ano) (Tabela 4.4). A potência ótima para a receita de referência permanece em 55 MW. Com 60 MW contratados, porém, os dois tanques produzem o mesmo resultado: sem o módulo mercantil, o eletrolisador opera apenas nas horas de sol, a entrega de 3 t/dia exige cerca de 9,4 h diárias na potência nominal, e raramente sobra hidrogênio para guardar. Esse efeito do tanque só aparece com a fronteira da relaxação linear (Subseção 4.1): com a condição cíclica semanal, o tanque era esvaziado no início de cada semana e sua ampliação não tinha efeito.</w:t>
      </w:r>
    </w:p>
    <w:bookmarkEnd w:id="43"/>
    <w:bookmarkStart w:id="50" w:name="X5d7116e36aa75b714ebe85263b9b5917fb83cc3"/>
    <w:p>
      <w:pPr>
        <w:pStyle w:val="Heading3"/>
      </w:pPr>
      <w:r>
        <w:t xml:space="preserve">4.3.7 Sensibilidade à receita fixa e ao preço do hidrogênio</w:t>
      </w:r>
    </w:p>
    <w:p>
      <w:pPr>
        <w:pStyle w:val="FirstParagraph"/>
      </w:pPr>
      <w:r>
        <w:t xml:space="preserve">Como a receita fixa do LRCAP e o preço do hidrogênio não possuem referências consolidadas, o caso determinístico de 2025 foi resolvido para 48 combinações desses parâmetros: seis valores de receita fixa, entre R$ 330 mil e R$ 2,33 milhões/(MW·ano), e oito preços de hidrogênio, entre R$ 10 e R$ 45/kg. Os valores de receita fixa foram escolhidos a partir das quatro referências discutidas na Seção 3.5, sintetizadas no Quadro 4.1.</w:t>
      </w:r>
    </w:p>
    <w:p>
      <w:pPr>
        <w:pStyle w:val="Legenda"/>
      </w:pPr>
      <w:r>
        <w:t xml:space="preserve">Quadro 4.1 – Referências para a faixa de receita fixa avaliada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Receita fixa (R$/MW·ano)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 mil</w:t>
            </w:r>
          </w:p>
        </w:tc>
        <w:tc>
          <w:tcPr/>
          <w:p>
            <w:pPr>
              <w:pStyle w:val="Compact"/>
            </w:pPr>
            <w:r>
              <w:t xml:space="preserve">Primeiro leilão do MACSE, Itália, 30/09/2025: preço médio de € 12.959/(MWh·ano) para sistemas de baterias de íons de lítio, contratos de 15 anos (TERNA, 2025)</w:t>
            </w:r>
          </w:p>
        </w:tc>
        <w:tc>
          <w:tcPr/>
          <w:p>
            <w:pPr>
              <w:pStyle w:val="Compact"/>
            </w:pPr>
            <w:r>
              <w:t xml:space="preserve">Convertido para um sistema de 4 h (€ 51.836/(MW·ano)) com a PTAX de 30/09/2025 (R$ 6,2396/€), o que resulta em R$ 323 mil; arredondado na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830 mil</w:t>
            </w:r>
          </w:p>
        </w:tc>
        <w:tc>
          <w:tcPr/>
          <w:p>
            <w:pPr>
              <w:pStyle w:val="Compact"/>
            </w:pPr>
            <w:r>
              <w:t xml:space="preserve">Leilão nº 3/2026-ANEEL (LRCAP), 20/03/2026: 501,3 MW de termelétricas existentes a óleo e biodiesel, preço médio de R$ 831.251,52/(MW·ano), deságio de 50,1% (CCEE, 2026c)</w:t>
            </w:r>
          </w:p>
        </w:tc>
        <w:tc>
          <w:tcPr/>
          <w:p>
            <w:pPr>
              <w:pStyle w:val="Compact"/>
            </w:pPr>
            <w:r>
              <w:t xml:space="preserve">Usinas existentes, sem investimento novo: piso de referência para o produto potência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 e 1,5 mi</w:t>
            </w:r>
          </w:p>
        </w:tc>
        <w:tc>
          <w:tcPr/>
          <w:p>
            <w:pPr>
              <w:pStyle w:val="Compact"/>
            </w:pPr>
            <w:r>
              <w:t xml:space="preserve">CAPEX de referência de sistemas de baterias de R$ 5.000 a 6.000/kW (BRASIL; EPE, 2025)</w:t>
            </w:r>
          </w:p>
        </w:tc>
        <w:tc>
          <w:tcPr/>
          <w:p>
            <w:pPr>
              <w:pStyle w:val="Compact"/>
            </w:pPr>
            <w:r>
              <w:t xml:space="preserve">A anualização do CAPEX a 10% a.a. em 15 anos resulta em R$ 657 mil a R$ 789 mil/(MW·ano); os valores da grade acrescentam O&amp;M, encargos, tributos e reposição de módulos para manter a disponibilidade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2,33 mi</w:t>
            </w:r>
          </w:p>
        </w:tc>
        <w:tc>
          <w:tcPr/>
          <w:p>
            <w:pPr>
              <w:pStyle w:val="Compact"/>
            </w:pPr>
            <w:r>
              <w:t xml:space="preserve">Leilão nº 2/2026-ANEEL (LRCAP), 18/03/2026: 18,97 GW de termelétricas a gás natural, biometano e carvão e ampliações de hidrelétricas, novas e existentes, preço médio de R$ 2,334 milhões/(MW·ano), deságio de 5,5% (CCEE, 2026b)</w:t>
            </w:r>
          </w:p>
        </w:tc>
        <w:tc>
          <w:tcPr/>
          <w:p>
            <w:pPr>
              <w:pStyle w:val="Compact"/>
            </w:pPr>
            <w:r>
              <w:t xml:space="preserve">Custo de atender à mesma necessidade de potência com a expansão térmica e hidrelétrica: teto de referência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valor de R$ 600 mil/(MW·ano), adotado no caso de referência, situa-se, portanto, abaixo do preço obtido por usinas existentes no LRCAP de 2026 e abaixo do custo anualizado de investimento em baterias, e deve ser interpretado como hipótese conservadora para a receita fixa. Cada combinação foi resolvida pelo método de Benders, com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máximo de 0,11%. Os resultados são apresentados na Figura 4.9.</w:t>
      </w:r>
    </w:p>
    <w:p>
      <w:pPr>
        <w:pStyle w:val="Legenda"/>
      </w:pPr>
      <w:r>
        <w:t xml:space="preserve">Figura 4.9 – Potência ótima no LRCAP e lucro anual em função da receita fixa e do preço do hidrogênio (caso determinístico de 2025)</w:t>
      </w:r>
    </w:p>
    <w:p>
      <w:pPr>
        <w:pStyle w:val="Figura"/>
      </w:pPr>
      <w:r>
        <w:drawing>
          <wp:inline>
            <wp:extent cx="5334000" cy="206248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as/mapa_sensibilidade_potencia_lucro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Em nenhuma das combinações é vantajoso deixar de participar do leilão: a potência ótima varia entre 43,8 e 60 MW. Com receita fixa igual ou superior a R$ 1,5 milhão/(MW·ano), o ótimo é contratar toda a potência do BESS para qualquer preço de hidrogênio da faixa avaliada. Para preços de hidrogênio de até R$ 20/kg, o ótimo também é contratar toda a potência, independentemente da receita fixa, pois o valor da energia no eletrolisador, de até R$ 336/MWh, já não justifica reservar o BESS para abastecê-lo. A região em que o ótimo é inferior a 60 MW concentra-se nas combinações de receita fixa baixa e preço de hidrogênio alto, e sua fronteira se desloca para preços maiores à medida que a receita fixa aumenta: a potência ótima deixa de ser 60 MW a partir de R$ 25/kg com receita de R$ 330 mil, de R$ 30/kg com R$ 600 mil, de R$ 40/kg com R$ 830 mil e de R$ 45/kg com R$ 1,0 milhão/(MW·ano).</w:t>
      </w:r>
    </w:p>
    <w:p>
      <w:pPr>
        <w:pStyle w:val="BodyText"/>
      </w:pPr>
      <w:r>
        <w:t xml:space="preserve">O fator de capacidade do eletrolisador acompanha esse comportamento: com hidrogênio a R$ 10/kg, o eletrolisador opera apenas com a geração FV que não encontra uso mais valioso no MCP (fator de capacidade de 0,17); a partir de R$ 25/kg, ele absorve praticamente toda a geração FV (0,34) e, quando parte do BESS permanece no lado mercantil, também opera à noite (até 0,46).</w:t>
      </w:r>
    </w:p>
    <w:p>
      <w:pPr>
        <w:pStyle w:val="BodyText"/>
      </w:pPr>
      <w:r>
        <w:t xml:space="preserve">Para avaliar o custo de uma decisão tomada sob incerteza quanto a esses parâmetros, calculou-se o arrependimento de contratar 54,4 MW — o ótimo do caso de referência —, definido como a diferença entre o lucro ótimo de cada combinação e o lucro obtido com essa potência (Figura 4.10).</w:t>
      </w:r>
    </w:p>
    <w:p>
      <w:pPr>
        <w:pStyle w:val="Legenda"/>
      </w:pPr>
      <w:r>
        <w:t xml:space="preserve">Figura 4.10 – Arrependimento de contratar 54,4 MW em função da receita fixa e do preço do hidrogênio (caso determinístico de 2025)</w:t>
      </w:r>
    </w:p>
    <w:p>
      <w:pPr>
        <w:pStyle w:val="Figura"/>
      </w:pPr>
      <w:r>
        <w:drawing>
          <wp:inline>
            <wp:extent cx="5334000" cy="38671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as/mapa_sensibilidade_arrependimento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O arrependimento é nulo ou inferior a R$ 0,4 milhão por ano na vizinhança do caso de referência (receita de R$ 600 mil e hidrogênio entre R$ 30 e R$ 45/kg), mas cresce para até R$ 11,6 milhões por ano quando a receita fixa é elevada, situação em que contratar toda a potência seria ótimo. O arrependimento é assimétrico: subestimar a potência a contratar custa mais do que superestimá-la. Com receita de R$ 330 mil e hidrogênio a R$ 45/kg, por exemplo, contratar 54,4 MW em vez do ótimo de 43,8 MW custa R$ 2,5 milhões por ano, enquanto, com receita de R$ 1,5 milhão e hidrogênio a R$ 35/kg, contratar 54,4 MW em vez de 60 MW custa R$ 4,4 milhões por ano. Diante da incerteza sobre a receita fixa — que, no leilão, é o próprio lance —, essa assimetria favorece decisões de contratação mais próximas da potência máxima.</w:t>
      </w:r>
    </w:p>
    <w:p>
      <w:pPr>
        <w:pStyle w:val="BodyText"/>
      </w:pPr>
      <w:r>
        <w:t xml:space="preserve">Os resultados das Figuras 4.5 e 4.6 são coerentes com a curva de oferta da Subseção 4.3.3, obtida com o modelo estocástico: a potência ótima para R$ 600 mil e hidrogênio a R$ 35/kg (54,4 MW no caso determinístico) e a receita a partir da qual se oferta toda a potência (cerca de R$ 900 mil, contra a fronteira entre R$ 830 mil e R$ 1,0 milhão no mapa) são compatíveis entre as duas análises.</w:t>
      </w:r>
    </w:p>
    <w:bookmarkEnd w:id="50"/>
    <w:bookmarkEnd w:id="51"/>
    <w:bookmarkStart w:id="52" w:name="síntese"/>
    <w:p>
      <w:pPr>
        <w:pStyle w:val="Heading2"/>
      </w:pPr>
      <w:r>
        <w:t xml:space="preserve">4.4 Síntese</w:t>
      </w:r>
    </w:p>
    <w:p>
      <w:pPr>
        <w:pStyle w:val="FirstParagraph"/>
      </w:pPr>
      <w:r>
        <w:t xml:space="preserve">Os resultados permitem distinguir duas decisões e hierarquizar os fatores que determinam cada uma.</w:t>
      </w:r>
    </w:p>
    <w:p>
      <w:pPr>
        <w:pStyle w:val="BodyText"/>
      </w:pPr>
      <w:r>
        <w:rPr>
          <w:b/>
          <w:bCs/>
        </w:rPr>
        <w:t xml:space="preserve">Proponente que precisa construir o BESS (resultado principal):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oferta é do tipo</w:t>
      </w:r>
      <w:r>
        <w:rPr>
          <w:b/>
          <w:bCs/>
        </w:rPr>
        <w:t xml:space="preserve"> </w:t>
      </w:r>
      <w:r>
        <w:rPr>
          <w:b/>
          <w:bCs/>
        </w:rPr>
        <w:t xml:space="preserve">“tudo ou nada”</w:t>
      </w:r>
      <w:r>
        <w:rPr>
          <w:b/>
          <w:bCs/>
        </w:rPr>
        <w:t xml:space="preserve">:</w:t>
      </w:r>
      <w:r>
        <w:t xml:space="preserve"> </w:t>
      </w:r>
      <w:r>
        <w:t xml:space="preserve">abaixo do lance mínimo, o BESS não é construído; acima dele, ofertam-se 57,5 a 60 MW, praticamente toda a potência da bateria;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lance mínimo é de cerca de R$ 855 mil/(MW·ano) no caso central</w:t>
      </w:r>
      <w:r>
        <w:t xml:space="preserve"> </w:t>
      </w:r>
      <w:r>
        <w:t xml:space="preserve">e varia de R$ 780 mil a R$ 1,25 milhão/(MW·ano) conforme o custo de investimento, a taxa de desconto e a degradação; ele é bem aproximado pelo custo anual equivalente do BESS por MW acrescido do custo de degradação imposto pelo despacho do ONS (Equação (3.44)) e é próximo do preço obtido por termelétricas existentes no LRCAP de 2026;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hipóteses sobre o hidrogênio alteram pouco o lance mínimo</w:t>
      </w:r>
      <w:r>
        <w:t xml:space="preserve"> </w:t>
      </w:r>
      <w:r>
        <w:t xml:space="preserve">(de R$ 765 mil a R$ 855 mil/(MW·ano); a maior redução ocorre com o contrato firme de 3 t/dia, em que a bateria mercantil restante reduz o déficit de entrega, efeito que depende da multa contratual adotada), mas determinam a viabilidade do empreendimento como um todo: com os parâmetros adotados, nenhum caso se paga com investimento central, e o preço de equilíbrio do hidrogênio no caso de referência é de cerca de R$ 68/kg;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sem a receita do leilão, o BESS agrega pouco</w:t>
      </w:r>
      <w:r>
        <w:t xml:space="preserve"> </w:t>
      </w:r>
      <w:r>
        <w:t xml:space="preserve">(R$ 9,7 milhões por ano, contra custo anual equivalente de R$ 46,8 milhões): é o LRCAP que pode viabilizar a bateria, e a receita de referência de R$ 600 mil/(MW·ano) é insuficiente para isso.</w:t>
      </w:r>
    </w:p>
    <w:p>
      <w:pPr>
        <w:pStyle w:val="FirstParagraph"/>
      </w:pPr>
      <w:r>
        <w:rPr>
          <w:b/>
          <w:bCs/>
        </w:rPr>
        <w:t xml:space="preserve">Proponente que dispõe do BESS: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participar do leilão é robusto:</w:t>
      </w:r>
      <w:r>
        <w:t xml:space="preserve"> </w:t>
      </w:r>
      <w:r>
        <w:t xml:space="preserve">até cerca de 37,5 MW, o custo de oportunidade marginal situa-se entre R$ 77 mil e R$ 111 mil/(MW·ano) nos casos de contrato de hidrogênio e de importação, e a receita mínima de entrada permanece abaixo de R$ 300 mil/(MW·ano) em todos os casos;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quantidade a ofertar acima de cerca de 40 MW depende do hidrogênio e do dimensionamento:</w:t>
      </w:r>
      <w:r>
        <w:t xml:space="preserve"> </w:t>
      </w:r>
      <w:r>
        <w:t xml:space="preserve">o custo de oportunidade do último MW varia de R$ 172 mil a cerca de R$ 2,0 milhões/(MW·ano) conforme o contrato de fornecimento, e a potência ótima varia de 50 a 57,5 MW com o tamanho do eletrolisador, porque o módulo mercantil do BESS tem como principal função abastecer o eletrolisador fora do período solar;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regra de suprimento do eletrolisador é a hipótese de maior efeito sobre o lucro:</w:t>
      </w:r>
      <w:r>
        <w:t xml:space="preserve"> </w:t>
      </w:r>
      <w:r>
        <w:t xml:space="preserve">permitir a importação de energia eleva o lucro em cerca de 30% e torna o BESS desnecessário para a produção de hidrogênio;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 custo de degradação e a frequência do despacho afetam o lucro e o limiar de entrada, mas pouco a potência ótima</w:t>
      </w:r>
      <w:r>
        <w:t xml:space="preserve">, e a receita fixa e o preço do hidrogênio definem a fronteira entre contratar parte ou toda a potência, com arrependimento assimétrico que favorece contratar mais.</w:t>
      </w:r>
    </w:p>
    <w:p>
      <w:pPr>
        <w:pStyle w:val="FirstParagraph"/>
      </w:pPr>
      <w:r>
        <w:rPr>
          <w:b/>
          <w:bCs/>
        </w:rPr>
        <w:t xml:space="preserve">Método e incertezas: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variação histórica de preço e de geração e a aproximação da decomposição têm efeito pequeno sobre a decisão:</w:t>
      </w:r>
      <w:r>
        <w:t xml:space="preserve"> </w:t>
      </w:r>
      <w:r>
        <w:t xml:space="preserve">os modelos determinístico e estocástico conduzem à mesma potência ótima, o VSS é nulo e o EVPI é de 0,2% do lucro esperado. A condição cíclica semanal da decomposição é inofensiva sem contrato de hidrogênio, mas, com contrato firme, subestima o lucro em até 4% (9% com o tanque de 10 t); com os estados de fronteira da relaxação linear do ano, a decomposição fica, na maior parte das avaliações, a menos de 0,1% do ótimo anual.</w:t>
      </w:r>
    </w:p>
    <w:p>
      <w:pPr>
        <w:pStyle w:val="FirstParagraph"/>
      </w:pPr>
      <w:r>
        <w:t xml:space="preserve">Em conjunto, os resultados indicam que, para um BESS novo, a arbitragem relevante não se dá entre o LRCAP e o mercado de curto prazo na operação, mas na decisão de investimento: a bateria é construída para o leilão, e o lance é determinado pelo seu custo. A produção de hidrogênio, por sua vez, define se o empreendimento híbrido como um todo é viável, e as condições de sua comercialização — preço, volume e critério de qualificação — são as informações prioritárias para essa avaliação.</w:t>
      </w:r>
    </w:p>
    <w:bookmarkEnd w:id="52"/>
    <w:bookmarkStart w:id="53" w:name="referências"/>
    <w:p>
      <w:pPr>
        <w:pStyle w:val="Heading2"/>
      </w:pPr>
      <w:r>
        <w:t xml:space="preserve">REFERÊNCIAS</w:t>
      </w:r>
    </w:p>
    <w:p>
      <w:pPr>
        <w:pStyle w:val="Referencia"/>
      </w:pPr>
      <w:r>
        <w:t xml:space="preserve">BRASIL. Ministério de Minas e Energia; EPE – EMPRESA DE PESQUISA ENERGÉTICA.</w:t>
      </w:r>
      <w:r>
        <w:t xml:space="preserve"> </w:t>
      </w:r>
      <w:r>
        <w:rPr>
          <w:b/>
          <w:bCs/>
        </w:rPr>
        <w:t xml:space="preserve">Caderno de parâmetros de custos</w:t>
      </w:r>
      <w:r>
        <w:t xml:space="preserve">: geração e transmissão – PDE 2035. Brasília: MME/EPE, nov. 2025.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InfoLeilão Expresso</w:t>
      </w:r>
      <w:r>
        <w:t xml:space="preserve">: 04º LRCAP 2026 – Leilão nº 2/2026-ANEEL. São Paulo: CCEE, mar. 2026b. Disponível em: https://www.ccee.org.br. Acesso em: 3 out. 2026.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InfoLeilão Expresso</w:t>
      </w:r>
      <w:r>
        <w:t xml:space="preserve">: 05º LRCAP 2026 – Leilão nº 3/2026-ANEEL. São Paulo: CCEE, mar. 2026c. Disponível em: https://www.ccee.org.br. Acesso em: 3 out. 2026.</w:t>
      </w:r>
    </w:p>
    <w:p>
      <w:pPr>
        <w:pStyle w:val="Referencia"/>
      </w:pPr>
      <w:r>
        <w:t xml:space="preserve">TERNA.</w:t>
      </w:r>
      <w:r>
        <w:t xml:space="preserve"> </w:t>
      </w:r>
      <w:r>
        <w:rPr>
          <w:b/>
          <w:bCs/>
        </w:rPr>
        <w:t xml:space="preserve">Terna completes first MACSE auction</w:t>
      </w:r>
      <w:r>
        <w:t xml:space="preserve">: 10 GWh of energy storage capacity awarded. Roma: Terna S.p.A., 1 out. 2025. Comunicado de imprensa. Disponível em: https://www.terna.it. Acesso em: 3 out. 2026.</w:t>
      </w:r>
    </w:p>
    <w:bookmarkEnd w:id="53"/>
    <w:bookmarkEnd w:id="54"/>
    <w:sectPr>
      <w:pgSz w:w="11906" w:h="16838"/>
      <w:pgMar w:top="1701" w:right="1134" w:bottom="1134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default="1" w:styleId="Normal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FirstParagraph">
    <w:name w:val="First Paragraph"/>
    <w:basedOn w:val="BodyText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Compact">
    <w:name w:val="Compact"/>
    <w:basedOn w:val="Normal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1">
    <w:name w:val="heading 1"/>
    <w:basedOn w:val="Normal"/>
    <w:qFormat/>
    <w:pPr>
      <w:keepNext/>
      <w:spacing w:before="0" w:after="36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qFormat/>
    <w:pPr>
      <w:keepNext/>
      <w:spacing w:before="360" w:after="24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qFormat/>
    <w:pPr>
      <w:keepNext/>
      <w:spacing w:before="240" w:after="24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Legenda">
    <w:name w:val="Legenda"/>
    <w:basedOn w:val="Normal"/>
    <w:qFormat/>
    <w:pPr>
      <w:keepNext/>
      <w:spacing w:before="240" w:after="6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Figura">
    <w:name w:val="Figura"/>
    <w:basedOn w:val="Normal"/>
    <w:qFormat/>
    <w:pPr>
      <w:keepNext/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Fonte">
    <w:name w:val="Fonte"/>
    <w:basedOn w:val="Normal"/>
    <w:qFormat/>
    <w:pPr>
      <w:spacing w:before="60" w:after="24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Referencia">
    <w:name w:val="Referencia"/>
    <w:basedOn w:val="Normal"/>
    <w:qFormat/>
    <w:pPr>
      <w:spacing w:before="0" w:after="24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NumeroEquacao">
    <w:name w:val="Numero Equacao"/>
    <w:basedOn w:val="Normal"/>
    <w:qFormat/>
    <w:pPr>
      <w:spacing w:before="0" w:after="0" w:line="240" w:lineRule="auto"/>
      <w:ind w:firstLine="0"/>
      <w:jc w:val="right"/>
    </w:pPr>
    <w:rPr>
      <w:rFonts w:ascii="Times New Roman" w:hAnsi="Times New Roman" w:eastAsia="Times New Roman" w:cs="Times New Roman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2026-10-12T19:30:50Z</dcterms:created>
  <dcterms:modified xsi:type="dcterms:W3CDTF">2026-10-12T19:30:50Z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