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2.png" ContentType="image/png"/>
  <Override PartName="/word/media/rId41.png" ContentType="image/png"/>
  <Override PartName="/word/media/rId45.png" ContentType="image/png"/>
  <Override PartName="/word/media/rId48.png" ContentType="image/png"/>
  <Override PartName="/word/media/rId37.png" ContentType="image/png"/>
  <Override PartName="/word/media/rId17.png" ContentType="image/png"/>
  <Override PartName="/word/media/rId27.png" ContentType="image/png"/>
  <Override PartName="/word/media/rId21.png" ContentType="image/png"/>
  <Override PartName="/word/media/rId55.png" ContentType="image/png"/>
  <Override PartName="/word/media/rId5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tentativa de solução direta do MILP anual, interrompida após 15 minutos sem solução (Seção 3.6.1); a comparação sistemática com o MILP monolítico é apresentada adiante (Tabela 4.2).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</w:t>
      </w:r>
    </w:p>
    <w:p>
      <w:pPr>
        <w:pStyle w:val="BodyText"/>
      </w:pPr>
      <w:r>
        <w:rPr>
          <w:b/>
          <w:bCs/>
        </w:rPr>
        <w:t xml:space="preserve">Comparação com o MILP monolítico.</w:t>
      </w:r>
      <w:r>
        <w:t xml:space="preserve"> </w:t>
      </w:r>
      <w:r>
        <w:t xml:space="preserve">Para verificar o método diretamente, o problema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livre foi resolvido também como um único MILP, sem decomposição, em horizontes de 28 a 365 dias do cenário de 2025, com as mesmas condições de contorno nas pontas do horizonte e a mesma tolerância (0,01%), e comparado com o Benders em blocos semanais com condição cíclica (Tabela 4.2). O MILP monolítico dá o ótimo exato do horizonte; o Benders, o ótimo do problema com as condições cíclicas semanais, que é uma restrição do primeiro.</w:t>
      </w:r>
    </w:p>
    <w:p>
      <w:pPr>
        <w:pStyle w:val="Legenda"/>
      </w:pPr>
      <w:r>
        <w:t xml:space="preserve">Tabela 4.2 – Benders em blocos semanais e MILP monolítico no cenário de 2025 (HiGHS, quatro núcleos; lucro inclui a receita fixa rateada)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e horizonte</w:t>
            </w:r>
          </w:p>
        </w:tc>
        <w:tc>
          <w:tcPr/>
          <w:p>
            <w:pPr>
              <w:pStyle w:val="Compact"/>
            </w:pPr>
            <w:r>
              <w:t xml:space="preserve">Monolítico: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Monolítico: lucro (R$ mi)</w:t>
            </w:r>
          </w:p>
        </w:tc>
        <w:tc>
          <w:tcPr/>
          <w:p>
            <w:pPr>
              <w:pStyle w:val="Compact"/>
            </w:pPr>
            <w:r>
              <w:t xml:space="preserve">Monolítico: tempo</w:t>
            </w:r>
          </w:p>
        </w:tc>
        <w:tc>
          <w:tcPr/>
          <w:p>
            <w:pPr>
              <w:pStyle w:val="Compact"/>
            </w:pPr>
            <w:r>
              <w:t xml:space="preserve">Benders: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Benders: lucro (R$ mi)</w:t>
            </w:r>
          </w:p>
        </w:tc>
        <w:tc>
          <w:tcPr/>
          <w:p>
            <w:pPr>
              <w:pStyle w:val="Compact"/>
            </w:pPr>
            <w:r>
              <w:t xml:space="preserve">Benders: tempo</w:t>
            </w:r>
          </w:p>
        </w:tc>
        <w:tc>
          <w:tcPr/>
          <w:p>
            <w:pPr>
              <w:pStyle w:val="Compact"/>
            </w:pPr>
            <w:r>
              <w:t xml:space="preserve">Diferença no lucro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28 dias (jan.)</w:t>
            </w:r>
          </w:p>
        </w:tc>
        <w:tc>
          <w:tcPr/>
          <w:p>
            <w:pPr>
              <w:pStyle w:val="Compact"/>
            </w:pPr>
            <w:r>
              <w:t xml:space="preserve">55,04</w:t>
            </w:r>
          </w:p>
        </w:tc>
        <w:tc>
          <w:tcPr/>
          <w:p>
            <w:pPr>
              <w:pStyle w:val="Compact"/>
            </w:pPr>
            <w:r>
              <w:t xml:space="preserve">4,8912</w:t>
            </w:r>
          </w:p>
        </w:tc>
        <w:tc>
          <w:tcPr/>
          <w:p>
            <w:pPr>
              <w:pStyle w:val="Compact"/>
            </w:pPr>
            <w:r>
              <w:t xml:space="preserve">38 s</w:t>
            </w:r>
          </w:p>
        </w:tc>
        <w:tc>
          <w:tcPr/>
          <w:p>
            <w:pPr>
              <w:pStyle w:val="Compact"/>
            </w:pPr>
            <w:r>
              <w:t xml:space="preserve">55,17</w:t>
            </w:r>
          </w:p>
        </w:tc>
        <w:tc>
          <w:tcPr/>
          <w:p>
            <w:pPr>
              <w:pStyle w:val="Compact"/>
            </w:pPr>
            <w:r>
              <w:t xml:space="preserve">4,8913</w:t>
            </w:r>
          </w:p>
        </w:tc>
        <w:tc>
          <w:tcPr/>
          <w:p>
            <w:pPr>
              <w:pStyle w:val="Compact"/>
            </w:pPr>
            <w:r>
              <w:t xml:space="preserve">46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28 dias (jul.)</w:t>
            </w:r>
          </w:p>
        </w:tc>
        <w:tc>
          <w:tcPr/>
          <w:p>
            <w:pPr>
              <w:pStyle w:val="Compact"/>
            </w:pPr>
            <w:r>
              <w:t xml:space="preserve">51,54</w:t>
            </w:r>
          </w:p>
        </w:tc>
        <w:tc>
          <w:tcPr/>
          <w:p>
            <w:pPr>
              <w:pStyle w:val="Compact"/>
            </w:pPr>
            <w:r>
              <w:t xml:space="preserve">5,1252</w:t>
            </w:r>
          </w:p>
        </w:tc>
        <w:tc>
          <w:tcPr/>
          <w:p>
            <w:pPr>
              <w:pStyle w:val="Compact"/>
            </w:pPr>
            <w:r>
              <w:t xml:space="preserve">8 s</w:t>
            </w:r>
          </w:p>
        </w:tc>
        <w:tc>
          <w:tcPr/>
          <w:p>
            <w:pPr>
              <w:pStyle w:val="Compact"/>
            </w:pPr>
            <w:r>
              <w:t xml:space="preserve">51,53</w:t>
            </w:r>
          </w:p>
        </w:tc>
        <w:tc>
          <w:tcPr/>
          <w:p>
            <w:pPr>
              <w:pStyle w:val="Compact"/>
            </w:pPr>
            <w:r>
              <w:t xml:space="preserve">5,1252</w:t>
            </w:r>
          </w:p>
        </w:tc>
        <w:tc>
          <w:tcPr/>
          <w:p>
            <w:pPr>
              <w:pStyle w:val="Compact"/>
            </w:pPr>
            <w:r>
              <w:t xml:space="preserve">48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28 dias (jan.)</w:t>
            </w:r>
          </w:p>
        </w:tc>
        <w:tc>
          <w:tcPr/>
          <w:p>
            <w:pPr>
              <w:pStyle w:val="Compact"/>
            </w:pPr>
            <w:r>
              <w:t xml:space="preserve">54,83</w:t>
            </w:r>
          </w:p>
        </w:tc>
        <w:tc>
          <w:tcPr/>
          <w:p>
            <w:pPr>
              <w:pStyle w:val="Compact"/>
            </w:pPr>
            <w:r>
              <w:t xml:space="preserve">4,6507</w:t>
            </w:r>
          </w:p>
        </w:tc>
        <w:tc>
          <w:tcPr/>
          <w:p>
            <w:pPr>
              <w:pStyle w:val="Compact"/>
            </w:pPr>
            <w:r>
              <w:t xml:space="preserve">37 s</w:t>
            </w:r>
          </w:p>
        </w:tc>
        <w:tc>
          <w:tcPr/>
          <w:p>
            <w:pPr>
              <w:pStyle w:val="Compact"/>
            </w:pPr>
            <w:r>
              <w:t xml:space="preserve">55,37</w:t>
            </w:r>
          </w:p>
        </w:tc>
        <w:tc>
          <w:tcPr/>
          <w:p>
            <w:pPr>
              <w:pStyle w:val="Compact"/>
            </w:pPr>
            <w:r>
              <w:t xml:space="preserve">4,5478</w:t>
            </w:r>
          </w:p>
        </w:tc>
        <w:tc>
          <w:tcPr/>
          <w:p>
            <w:pPr>
              <w:pStyle w:val="Compact"/>
            </w:pPr>
            <w:r>
              <w:t xml:space="preserve">103 s</w:t>
            </w:r>
          </w:p>
        </w:tc>
        <w:tc>
          <w:tcPr/>
          <w:p>
            <w:pPr>
              <w:pStyle w:val="Compact"/>
            </w:pPr>
            <w:r>
              <w:t xml:space="preserve">−2,2%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28 dias (jul.)</w:t>
            </w:r>
          </w:p>
        </w:tc>
        <w:tc>
          <w:tcPr/>
          <w:p>
            <w:pPr>
              <w:pStyle w:val="Compact"/>
            </w:pPr>
            <w:r>
              <w:t xml:space="preserve">53,53</w:t>
            </w:r>
          </w:p>
        </w:tc>
        <w:tc>
          <w:tcPr/>
          <w:p>
            <w:pPr>
              <w:pStyle w:val="Compact"/>
            </w:pPr>
            <w:r>
              <w:t xml:space="preserve">4,9891</w:t>
            </w:r>
          </w:p>
        </w:tc>
        <w:tc>
          <w:tcPr/>
          <w:p>
            <w:pPr>
              <w:pStyle w:val="Compact"/>
            </w:pPr>
            <w:r>
              <w:t xml:space="preserve">22 s</w:t>
            </w:r>
          </w:p>
        </w:tc>
        <w:tc>
          <w:tcPr/>
          <w:p>
            <w:pPr>
              <w:pStyle w:val="Compact"/>
            </w:pPr>
            <w:r>
              <w:t xml:space="preserve">53,76</w:t>
            </w:r>
          </w:p>
        </w:tc>
        <w:tc>
          <w:tcPr/>
          <w:p>
            <w:pPr>
              <w:pStyle w:val="Compact"/>
            </w:pPr>
            <w:r>
              <w:t xml:space="preserve">4,9664</w:t>
            </w:r>
          </w:p>
        </w:tc>
        <w:tc>
          <w:tcPr/>
          <w:p>
            <w:pPr>
              <w:pStyle w:val="Compact"/>
            </w:pPr>
            <w:r>
              <w:t xml:space="preserve">85 s</w:t>
            </w:r>
          </w:p>
        </w:tc>
        <w:tc>
          <w:tcPr/>
          <w:p>
            <w:pPr>
              <w:pStyle w:val="Compact"/>
            </w:pPr>
            <w:r>
              <w:t xml:space="preserve">−0,46%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91 dias</w:t>
            </w:r>
          </w:p>
        </w:tc>
        <w:tc>
          <w:tcPr/>
          <w:p>
            <w:pPr>
              <w:pStyle w:val="Compact"/>
            </w:pPr>
            <w:r>
              <w:t xml:space="preserve">55,08</w:t>
            </w:r>
          </w:p>
        </w:tc>
        <w:tc>
          <w:tcPr/>
          <w:p>
            <w:pPr>
              <w:pStyle w:val="Compact"/>
            </w:pPr>
            <w:r>
              <w:t xml:space="preserve">16,927</w:t>
            </w:r>
          </w:p>
        </w:tc>
        <w:tc>
          <w:tcPr/>
          <w:p>
            <w:pPr>
              <w:pStyle w:val="Compact"/>
            </w:pPr>
            <w:r>
              <w:t xml:space="preserve">21 min</w:t>
            </w:r>
          </w:p>
        </w:tc>
        <w:tc>
          <w:tcPr/>
          <w:p>
            <w:pPr>
              <w:pStyle w:val="Compact"/>
            </w:pPr>
            <w:r>
              <w:t xml:space="preserve">55,05</w:t>
            </w:r>
          </w:p>
        </w:tc>
        <w:tc>
          <w:tcPr/>
          <w:p>
            <w:pPr>
              <w:pStyle w:val="Compact"/>
            </w:pPr>
            <w:r>
              <w:t xml:space="preserve">16,927</w:t>
            </w:r>
          </w:p>
        </w:tc>
        <w:tc>
          <w:tcPr/>
          <w:p>
            <w:pPr>
              <w:pStyle w:val="Compact"/>
            </w:pPr>
            <w:r>
              <w:t xml:space="preserve">83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182 dias</w:t>
            </w:r>
          </w:p>
        </w:tc>
        <w:tc>
          <w:tcPr/>
          <w:p>
            <w:pPr>
              <w:pStyle w:val="Compact"/>
            </w:pPr>
            <w:r>
              <w:t xml:space="preserve">54,39*</w:t>
            </w:r>
          </w:p>
        </w:tc>
        <w:tc>
          <w:tcPr/>
          <w:p>
            <w:pPr>
              <w:pStyle w:val="Compact"/>
            </w:pPr>
            <w:r>
              <w:t xml:space="preserve">33,447*</w:t>
            </w:r>
          </w:p>
        </w:tc>
        <w:tc>
          <w:tcPr/>
          <w:p>
            <w:pPr>
              <w:pStyle w:val="Compact"/>
            </w:pPr>
            <w:r>
              <w:t xml:space="preserve">30 min*</w:t>
            </w:r>
          </w:p>
        </w:tc>
        <w:tc>
          <w:tcPr/>
          <w:p>
            <w:pPr>
              <w:pStyle w:val="Compact"/>
            </w:pPr>
            <w:r>
              <w:t xml:space="preserve">54,64</w:t>
            </w:r>
          </w:p>
        </w:tc>
        <w:tc>
          <w:tcPr/>
          <w:p>
            <w:pPr>
              <w:pStyle w:val="Compact"/>
            </w:pPr>
            <w:r>
              <w:t xml:space="preserve">33,466</w:t>
            </w:r>
          </w:p>
        </w:tc>
        <w:tc>
          <w:tcPr/>
          <w:p>
            <w:pPr>
              <w:pStyle w:val="Compact"/>
            </w:pPr>
            <w:r>
              <w:t xml:space="preserve">137 s</w:t>
            </w:r>
          </w:p>
        </w:tc>
        <w:tc>
          <w:tcPr/>
          <w:p>
            <w:pPr>
              <w:pStyle w:val="Compact"/>
            </w:pPr>
            <w:r>
              <w:t xml:space="preserve">+0,06%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365 dias</w:t>
            </w:r>
          </w:p>
        </w:tc>
        <w:tc>
          <w:tcPr/>
          <w:p>
            <w:pPr>
              <w:pStyle w:val="Compact"/>
            </w:pPr>
            <w:r>
              <w:t xml:space="preserve">53,24*</w:t>
            </w:r>
          </w:p>
        </w:tc>
        <w:tc>
          <w:tcPr/>
          <w:p>
            <w:pPr>
              <w:pStyle w:val="Compact"/>
            </w:pPr>
            <w:r>
              <w:t xml:space="preserve">67,723*</w:t>
            </w:r>
          </w:p>
        </w:tc>
        <w:tc>
          <w:tcPr/>
          <w:p>
            <w:pPr>
              <w:pStyle w:val="Compact"/>
            </w:pPr>
            <w:r>
              <w:t xml:space="preserve">30 min*</w:t>
            </w:r>
          </w:p>
        </w:tc>
        <w:tc>
          <w:tcPr/>
          <w:p>
            <w:pPr>
              <w:pStyle w:val="Compact"/>
            </w:pPr>
            <w:r>
              <w:t xml:space="preserve">54,62</w:t>
            </w:r>
          </w:p>
        </w:tc>
        <w:tc>
          <w:tcPr/>
          <w:p>
            <w:pPr>
              <w:pStyle w:val="Compact"/>
            </w:pPr>
            <w:r>
              <w:t xml:space="preserve">67,774</w:t>
            </w:r>
          </w:p>
        </w:tc>
        <w:tc>
          <w:tcPr/>
          <w:p>
            <w:pPr>
              <w:pStyle w:val="Compact"/>
            </w:pPr>
            <w:r>
              <w:t xml:space="preserve">266 s</w:t>
            </w:r>
          </w:p>
        </w:tc>
        <w:tc>
          <w:tcPr/>
          <w:p>
            <w:pPr>
              <w:pStyle w:val="Compact"/>
            </w:pPr>
            <w:r>
              <w:t xml:space="preserve">+0,08%</w:t>
            </w:r>
          </w:p>
        </w:tc>
      </w:tr>
    </w:tbl>
    <w:p>
      <w:pPr>
        <w:pStyle w:val="Fonte"/>
      </w:pPr>
      <w:r>
        <w:t xml:space="preserve">Fonte: elaborado pelo autor. * Interrompido no limite de 30 minutos,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0,07% (182 dias) e 0,09% (365 dias) em relação ao limite superior do próprio MILP; nos demais casos, o MILP monolítico foi resolvido até a tolerância.</w:t>
      </w:r>
    </w:p>
    <w:p>
      <w:pPr>
        <w:pStyle w:val="BodyText"/>
      </w:pPr>
      <w:r>
        <w:t xml:space="preserve">Sem contrato de hidrogênio, os dois métodos chegam ao mesmo lucro, a menos da tolerância, e a potências que diferem em no máximo 0,13 MW, dentro da região plana do ótimo. O tempo do MILP monolítico, porém, cresce muito mais rápido que o horizonte: 38 s para 28 dias, 21 minutos para 91 dias, e, com 182 e 365 dias,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não atinge a tolerância em 30 minutos e entrega soluções piores que as do Benders (53,2 MW e R$ 67,72 milhões no ano, contra 54,6 MW e R$ 67,77 milhões em 4,4 minutos). O limite superior do MILP anual (R$ 67,787 milhões) certifica que a solução do Benders está a menos de 0,02% do ótimo exato do ano. Com contrato de 3 t/dia, a condição cíclica semanal custa 0,5% a 2,2% do lucro do mês, coerente com a diferença entre as fronteiras discutida acima, e a potência ótima difere em até 0,5 MW; por isso, nas avaliações com potência fixa, a fronteira dos blocos é tomada da relaxação linear do ano. Com um bloco só, em contrapartida, o Benders não traz vantagem: em uma semana isolada, a função valor não côncava impede o fechamento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(0,38%), e, em 28 dias, o MILP lagrangiano do corte reforçado não foi resolvido em duas horas, contra 38 s do MILP monolítico. A vantagem do método vem, portanto, da divisão do ano em muitos blocos pequenos e independentes, que mantém cada MILP pequeno e permite resolvê-los em paralelo.</w:t>
      </w:r>
    </w:p>
    <w:p>
      <w:pPr>
        <w:pStyle w:val="BodyText"/>
      </w:pPr>
      <w:r>
        <w:rPr>
          <w:b/>
          <w:bCs/>
        </w:rPr>
        <w:t xml:space="preserve">Dias representativos.</w:t>
      </w:r>
      <w:r>
        <w:t xml:space="preserve"> </w:t>
      </w:r>
      <w:r>
        <w:t xml:space="preserve">Uma alternativa frequente na literatura é reduzir o ano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dias representativos, obtidos por agrupamento das séries diárias, e resolver o modelo só para esses dias, ponderados pelo número de dias de cada grupo. Para medir o erro dessa abordagem, o MILP de 24 h foi resolvido para cada dia dos cinco cenários e cada potência da grade da curva de oferta, com condição cíclica diária, e os dias de cada ano foram agrupados por</w:t>
      </w:r>
      <w:r>
        <w:t xml:space="preserve"> </w:t>
      </w:r>
      <w:r>
        <w:rPr>
          <w:i/>
          <w:iCs/>
        </w:rPr>
        <w:t xml:space="preserve">k-medoids</w:t>
      </w:r>
      <w:r>
        <w:t xml:space="preserve"> </w:t>
      </w:r>
      <w:r>
        <w:t xml:space="preserve">sobre os perfis horários padronizados de PLD e de fator de capacidade FV, com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6, 12, 24 e 48. A Tabela 4.3 compara as curvas de oferta resultantes com a dos blocos semanais.</w:t>
      </w:r>
    </w:p>
    <w:p>
      <w:pPr>
        <w:pStyle w:val="Legenda"/>
      </w:pPr>
      <w:r>
        <w:t xml:space="preserve">Tabela 4.3 – Curva de oferta com blocos semanais, blocos diários e dias representativos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 potência ótima (MW)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 potência ótima (MW)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semanais (referência)</w:t>
            </w:r>
          </w:p>
        </w:tc>
        <w:tc>
          <w:tcPr/>
          <w:p>
            <w:pPr>
              <w:pStyle w:val="Compact"/>
            </w:pPr>
            <w:r>
              <w:t xml:space="preserve">45,03</w:t>
            </w:r>
          </w:p>
        </w:tc>
        <w:tc>
          <w:tcPr/>
          <w:p>
            <w:pPr>
              <w:pStyle w:val="Compact"/>
            </w:pPr>
            <w:r>
              <w:t xml:space="preserve">14,05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39,38</w:t>
            </w:r>
          </w:p>
        </w:tc>
        <w:tc>
          <w:tcPr/>
          <w:p>
            <w:pPr>
              <w:pStyle w:val="Compact"/>
            </w:pPr>
            <w:r>
              <w:t xml:space="preserve">14,43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diários (todos os dias)</w:t>
            </w:r>
          </w:p>
        </w:tc>
        <w:tc>
          <w:tcPr/>
          <w:p>
            <w:pPr>
              <w:pStyle w:val="Compact"/>
            </w:pPr>
            <w:r>
              <w:t xml:space="preserve">44,93</w:t>
            </w:r>
          </w:p>
        </w:tc>
        <w:tc>
          <w:tcPr/>
          <w:p>
            <w:pPr>
              <w:pStyle w:val="Compact"/>
            </w:pPr>
            <w:r>
              <w:t xml:space="preserve">13,95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34,78</w:t>
            </w:r>
          </w:p>
        </w:tc>
        <w:tc>
          <w:tcPr/>
          <w:p>
            <w:pPr>
              <w:pStyle w:val="Compact"/>
            </w:pPr>
            <w:r>
              <w:t xml:space="preserve">10,15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dias representativos</w:t>
            </w:r>
          </w:p>
        </w:tc>
        <w:tc>
          <w:tcPr/>
          <w:p>
            <w:pPr>
              <w:pStyle w:val="Compact"/>
            </w:pPr>
            <w:r>
              <w:t xml:space="preserve">46,57</w:t>
            </w:r>
          </w:p>
        </w:tc>
        <w:tc>
          <w:tcPr/>
          <w:p>
            <w:pPr>
              <w:pStyle w:val="Compact"/>
            </w:pPr>
            <w:r>
              <w:t xml:space="preserve">14,12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36,23</w:t>
            </w:r>
          </w:p>
        </w:tc>
        <w:tc>
          <w:tcPr/>
          <w:p>
            <w:pPr>
              <w:pStyle w:val="Compact"/>
            </w:pPr>
            <w:r>
              <w:t xml:space="preserve">8,59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dias representativos</w:t>
            </w:r>
          </w:p>
        </w:tc>
        <w:tc>
          <w:tcPr/>
          <w:p>
            <w:pPr>
              <w:pStyle w:val="Compact"/>
            </w:pPr>
            <w:r>
              <w:t xml:space="preserve">45,67</w:t>
            </w:r>
          </w:p>
        </w:tc>
        <w:tc>
          <w:tcPr/>
          <w:p>
            <w:pPr>
              <w:pStyle w:val="Compact"/>
            </w:pPr>
            <w:r>
              <w:t xml:space="preserve">13,92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34,76</w:t>
            </w:r>
          </w:p>
        </w:tc>
        <w:tc>
          <w:tcPr/>
          <w:p>
            <w:pPr>
              <w:pStyle w:val="Compact"/>
            </w:pPr>
            <w:r>
              <w:t xml:space="preserve">8,51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dias representativos</w:t>
            </w:r>
          </w:p>
        </w:tc>
        <w:tc>
          <w:tcPr/>
          <w:p>
            <w:pPr>
              <w:pStyle w:val="Compact"/>
            </w:pPr>
            <w:r>
              <w:t xml:space="preserve">45,86</w:t>
            </w:r>
          </w:p>
        </w:tc>
        <w:tc>
          <w:tcPr/>
          <w:p>
            <w:pPr>
              <w:pStyle w:val="Compact"/>
            </w:pPr>
            <w:r>
              <w:t xml:space="preserve">14,13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35,25</w:t>
            </w:r>
          </w:p>
        </w:tc>
        <w:tc>
          <w:tcPr/>
          <w:p>
            <w:pPr>
              <w:pStyle w:val="Compact"/>
            </w:pPr>
            <w:r>
              <w:t xml:space="preserve">9,14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dias representativos</w:t>
            </w:r>
          </w:p>
        </w:tc>
        <w:tc>
          <w:tcPr/>
          <w:p>
            <w:pPr>
              <w:pStyle w:val="Compact"/>
            </w:pPr>
            <w:r>
              <w:t xml:space="preserve">45,35</w:t>
            </w:r>
          </w:p>
        </w:tc>
        <w:tc>
          <w:tcPr/>
          <w:p>
            <w:pPr>
              <w:pStyle w:val="Compact"/>
            </w:pPr>
            <w:r>
              <w:t xml:space="preserve">14,01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34,83</w:t>
            </w:r>
          </w:p>
        </w:tc>
        <w:tc>
          <w:tcPr/>
          <w:p>
            <w:pPr>
              <w:pStyle w:val="Compact"/>
            </w:pPr>
            <w:r>
              <w:t xml:space="preserve">9,55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Sem contrato de hidrogênio, a operação se repete em ciclos diários, e os blocos diários reproduzem os semanais a menos de 0,2%. O agrupamento acrescenta um erro no nível do lucro, superestimado em 0,7% a 3,4% (R$ 0,3 milhão a R$ 1,5 milhão por ano), pois os medoides suavizam a variabilidade dos dias que representam, mas não na perda de lucro com a potência contratada, que difere em até 1,5%: a potência ótima, a receita mínima de entrada (R$ 74 mil a R$ 75 mil, contra R$ 76 mil/(MW·ano)) e o custo marginal do último MW (R$ 0,89 milhão a R$ 0,91 milhão, contra R$ 0,90 milhão/MW) praticamente não mudam. Com contrato de 3 t/dia, o resultado se inverte. Sem poder levar hidrogênio e energia de um dia para outro, o modelo diário subestima o lucro em 8% a 12% e o custo de oportunidade da potência contratada em 30% a 40% (R$ 8,5 milhões a R$ 10,2 milhões, contra R$ 14,4 milhões por ano com 60 MW), pois não enxerga que, com o módulo mercantil menor, cresce o déficit de entrega nas sequências de dias nublados; a potência ótima sobe para 57,5 MW e o custo marginal do último MW cai de R$ 2,0 milhões para R$ 1,3 milhão a R$ 1,4 milhão/MW. Mais dias representativos não corrigem o erro, porque ele vem da perda da cronologia entre dias, e não do agrupamento. Os blocos semanais, ligados pela fronteira da relaxação do ano, preservam essa cronologia e ficam a menos de 0,1% do limite superior até 55 MW; essa é a razão da escolha da decomposição em blocos cronológicos em vez de dias representativos (Seção 3.6).</w:t>
      </w:r>
    </w:p>
    <w:bookmarkEnd w:id="12"/>
    <w:bookmarkStart w:id="26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4.4 e na Figura 4.2.</w:t>
      </w:r>
    </w:p>
    <w:p>
      <w:pPr>
        <w:pStyle w:val="Legenda"/>
      </w:pPr>
      <w:r>
        <w:t xml:space="preserve">Tabela 4.4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4.5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4.5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bookmarkEnd w:id="20"/>
    <w:bookmarkStart w:id="24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4.6.</w:t>
      </w:r>
    </w:p>
    <w:p>
      <w:pPr>
        <w:pStyle w:val="Legenda"/>
      </w:pPr>
      <w:r>
        <w:t xml:space="preserve">Tabela 4.6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Reposição explícita de módulos somada ao O&amp;M (1 ciclo/dia)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de 2 ciclos/dia (reposição acima da de 1 ciclo/dia)</w:t>
            </w:r>
          </w:p>
        </w:tc>
        <w:tc>
          <w:tcPr/>
          <w:p>
            <w:pPr>
              <w:pStyle w:val="Compact"/>
            </w:pPr>
            <w:r>
              <w:t xml:space="preserve">1.278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na ponta da carga líquida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A taxa de desconto foi também variada de forma contínua: com o BESS dimensionado para o contrato, o lance mínimo é de R$ 838 mil/(MW·ano) a 6%, R$ 936 mil a 8%, R$ 1,041 milhão a 10%, R$ 1,160 milhão a 12,1% e R$ 1,271 milhão a 14%, isto é, cerca de R$ 54 mil, ou 5%, por ponto percentual. Um custo de capital menor, como o obtido com financiamento de longo prazo, reduziria o lance nessa proporção. O investimento de referência merece uma comparação com o mercado internacional. Os R$ 5.500/kW da EPE, tomados como custo de um sistema de 4 h, equivalem a cerca de US$ 254/kWh, acima das referências recentes: a pesquisa de custos da BloombergNEF de 2025 indica média mundial de US$ 110/kWh para sistemas completos de 4 h, de US$ 177/kWh na Europa e de US$ 219/kWh nos Estados Unidos (ENERGY-STORAGE.NEWS, 2025), e a Ember estima US$ 125/kWh para projetos de grande porte fora da China e dos Estados Unidos, incluídas a instalação e a conexão, em outubro de 2025 (EMBER, 2025). Com esses valores, convertidos pela PTAX e mantidas as demais premissas, o lance mínimo do BESS dimensionado para o contrato seria de R$ 501 mil a R$ 570 mil/(MW·ano) com os custos mundiais, de R$ 806 mil com o europeu e de R$ 998 mil com o norte-americano, contra R$ 1,160 milhão com o da EPE. A diferença decorre, em parte, dos tributos sobre a importação de equipamentos e da escala ainda pequena do mercado brasileiro, que o valor da EPE pode refletir; mas sua magnitude indica que o custo de referência é a premissa de maior efeito sobre o lance, superior à da duração de referência, e que, com custos próximos dos internacionais, o lance ficaria abaixo do preço obtido pelas termelétricas existentes no LRCAP de 2026.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O modelo supõe capacidade de energia constante nos 15 anos, mantida pela reposição de módulos incluída no O&amp;M fixo do BESS. Para verificar essa hipótese, a reposição foi modelada explicitamente (Seção 3.5): a capacidade cai por ciclagem, 20% ao longo de 5.000 ciclos completos (faixa de 4.000 a 6.000), e por calendário, 1% ao ano (faixa de 0,5% a 2%), e são comprados módulos, ao preço da parcela do investimento que escala com a energia (R$ 825/kWh), sempre que a capacidade cairia abaixo da necessária para entregar 4 h na potência do BESS (280,7 MWh para 60 MW). Com um despacho por dia, o BESS de referência (300 MWh) faz 342 ciclos equivalentes por ano e repõe 86 MWh em 15 anos, a partir do segundo ano; o custo anual equivalente é de R$ 4,3 milhões, 46% do O&amp;M fixo do BESS (32% a 73% nas faixas de vida e de calendário). No BESS dimensionado para o contrato (288 MWh), cuja folga inicial é de apenas 2,6%, a reposição começa no primeiro ano e custa 60% do O&amp;M. O O&amp;M de referência comporta, portanto, a reposição com um ciclo por dia, e somá-la ao O&amp;M, o que contaria a reposição duas vezes, elevaria o lance em no máximo 6%. Com dois despachos por dia, o máximo admitido pela Portaria, a reposição passa a 85% do O&amp;M do BESS de referência (71% a 113%) e a 102% no dimensionado, e já não caberia no O&amp;M; cobrando apenas a reposição acima da de um ciclo diário, o lance sobe 5%. A frequência do despacho, irrelevante para a operação (Seção 4.3.6), afeta assim o lance por meio do desgaste, e convém que o proponente a considere ao precificar o risco de um uso mais intenso que o diário.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p>
      <w:pPr>
        <w:pStyle w:val="BodyText"/>
      </w:pPr>
      <w:r>
        <w:t xml:space="preserve">A análise de um parâmetro por vez não diz quão provável é cada valor do lance, e várias das premissas de maior efeito são regras ainda não confirmadas. Para levar essa incerteza ao resultado, as premissas de custo e de regra foram sorteadas por Monte Carlo, de forma independente, em 5.000 amostras: o investimento de referência (triangular entre R$ 5.000 e R$ 6.000/kW, moda em R$ 5.500), a parcela de energia (uniforme entre 45% e 75%), a taxa de desconto (triangular entre 8% e 14%, moda em 12,1%), o O&amp;M do BESS (uniforme entre 1,5% e 3,5%), a TUST (triangular na faixa regional), o consumo auxiliar (uniforme entre 0 e 2%), a disponibilidade (uniforme entre 97% e 100%) e o prazo de implantação (0, 1 ou 2 anos, com probabilidades de 25%, 50% e 25%). As regras não confirmadas foram tratadas como eventos binários, com probabilidades que são hipóteses do autor: referência da EPE para 3 h (50%), cobrança dupla da TUST (50%), consumo auxiliar fora da folga da CONCAP (50%), PIS/Cofins não cumulativo (25%), receita sem reajuste pelo IPCA (10%) e despacho de dois ciclos por dia (20%). A Figura 4.4 apresenta a distribuição resultante para o BESS dimensionado para o contrato, com 60 MW e 288 MWh.</w:t>
      </w:r>
    </w:p>
    <w:p>
      <w:pPr>
        <w:pStyle w:val="Legenda"/>
      </w:pPr>
      <w:r>
        <w:t xml:space="preserve">Figura 4.4 – Monte Carlo das premissas de custo e de regra: (a) distribuição do lance mínimo do BESS dimensionado para o contrato; (b) fração da variância do lance explicada por cada premissa isoladamente</w:t>
      </w:r>
    </w:p>
    <w:p>
      <w:pPr>
        <w:pStyle w:val="Figura"/>
      </w:pPr>
      <w:r>
        <w:drawing>
          <wp:inline>
            <wp:extent cx="5334000" cy="196947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lance_monte_carl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9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tem mediana de R$ 1,44 milhão/(MW·ano) e intervalo de 80% (P10 a P90) de R$ 1,17 milhão a R$ 1,78 milhão; com o BESS de referência, de R$ 1,48 milhão (P10 a P90 de R$ 1,20 milhão a R$ 1,82 milhão). O valor determinístico das premissas centrais (R$ 1,18 milhão para o BESS dimensionado de 60 MW e R$ 1,21 milhão para o de referência) fica próximo do percentil 10: só 11% das amostras ficam abaixo dele, porque as regras não confirmadas só podem elevar o lance. Nenhuma amostra fica abaixo do preço das termelétricas existentes no LRCAP de 2026 (R$ 831 mil), e praticamente todas (99,9%) ficam abaixo do preço das termelétricas e hidrelétricas do leilão anterior (R$ 2,33 milhões). Três premissas explicam a maior parte da variância: a duração de referência do custo da EPE (30%), o reajuste da receita pelo IPCA (22%) e a cobrança dupla da TUST (17%), seguidas pela taxa de desconto (12%); o investimento de referência na faixa da EPE, o O&amp;M, a TUST regional, o consumo auxiliar e a disponibilidade explicam, cada um, menos de 5%. Confirmadas as três regras no sentido das premissas centrais (referência de 4 h, sem cobrança dupla e com reajuste), a mediana cai para R$ 1,20 milhão e o intervalo de 80% para R$ 1,06 milhão a R$ 1,33 milhão. O resultado reforça que a incerteza relevante para o lance é documental e regulatória, e não de preço ou de geração: três verificações nos documentos originais estreitariam o intervalo do lance à metade. As probabilidades atribuídas às regras são subjetivas, e o resultado deve ser lido como ilustração dessa sensibilidade, não como previsão.</w:t>
      </w:r>
    </w:p>
    <w:bookmarkEnd w:id="24"/>
    <w:bookmarkStart w:id="25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4.7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4.7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5"/>
    <w:bookmarkEnd w:id="26"/>
    <w:bookmarkStart w:id="59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p>
      <w:pPr>
        <w:pStyle w:val="BodyText"/>
      </w:pPr>
      <w:r>
        <w:t xml:space="preserve">A receita de referência, de R$ 600 mil/(MW·ano), é inferior ao lance mínimo de R$ 1,214 milhão calculado na Seção 4.2: com ela, um proponente não construiria o BESS. Os resultados desta seção valem, portanto, para quem já dispõe da bateria, e a curva de oferta da Subseção 4.3.3 fornece a decisão para qualquer receita. Para um BESS construído com receita igual ao lance mínimo, o proponente oferta toda a potência, e a operação é a da Tabela 4.8.</w:t>
      </w:r>
    </w:p>
    <w:p>
      <w:pPr>
        <w:pStyle w:val="Legenda"/>
      </w:pPr>
      <w:r>
        <w:t xml:space="preserve">Tabela 4.8 – Operação média nos cenários com a receita de referência e com a receita igual ao lance mínimo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R$ 600 mil/(MW·ano): 55 MW</w:t>
            </w:r>
          </w:p>
        </w:tc>
        <w:tc>
          <w:tcPr/>
          <w:p>
            <w:pPr>
              <w:pStyle w:val="Compact"/>
            </w:pPr>
            <w:r>
              <w:t xml:space="preserve">R$ 1,214 mi/(MW·ano): 60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(R$ mi/ano)</w:t>
            </w:r>
          </w:p>
        </w:tc>
        <w:tc>
          <w:tcPr/>
          <w:p>
            <w:pPr>
              <w:pStyle w:val="Compact"/>
            </w:pPr>
            <w:r>
              <w:t xml:space="preserve">33,0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operacional sem a receita fixa (R$ mi/ano)</w:t>
            </w:r>
          </w:p>
        </w:tc>
        <w:tc>
          <w:tcPr/>
          <w:p>
            <w:pPr>
              <w:pStyle w:val="Compact"/>
            </w:pPr>
            <w:r>
              <w:t xml:space="preserve">35,1</w:t>
            </w:r>
          </w:p>
        </w:tc>
        <w:tc>
          <w:tcPr/>
          <w:p>
            <w:pPr>
              <w:pStyle w:val="Compact"/>
            </w:pPr>
            <w:r>
              <w:t xml:space="preserve">31,0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total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103,8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30,7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com o eletrolisador ligado</w:t>
            </w:r>
          </w:p>
        </w:tc>
        <w:tc>
          <w:tcPr/>
          <w:p>
            <w:pPr>
              <w:pStyle w:val="Compact"/>
            </w:pPr>
            <w:r>
              <w:t xml:space="preserve">7.459</w:t>
            </w:r>
          </w:p>
        </w:tc>
        <w:tc>
          <w:tcPr/>
          <w:p>
            <w:pPr>
              <w:pStyle w:val="Compact"/>
            </w:pPr>
            <w:r>
              <w:t xml:space="preserve">3.458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Partidas do eletrolisador por ano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 do módulo mercantil (GWh/ano)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Fonte"/>
      </w:pPr>
      <w:r>
        <w:t xml:space="preserve">Fonte: elaborado pelo autor. Média dos cinco cenários; lucros sem O&amp;M fixo, uso da rede e tributos.</w:t>
      </w:r>
    </w:p>
    <w:p>
      <w:pPr>
        <w:pStyle w:val="BodyText"/>
      </w:pPr>
      <w:r>
        <w:t xml:space="preserve">Com a oferta de toda a potência, o módulo mercantil desaparece e, com ele, o suprimento noturno do eletrolisador: a produção de hidrogênio cai 15%, o eletrolisador passa a operar só nas horas de sol, com metade das horas de operação e uma partida por dia, e a energia que antes ia para o eletrolisador à noite passa a ser exportada ao MCP. O lucro operacional cai R$ 4,1 milhões por ano, mais do que compensado pelos R$ 39,8 milhões de receita fixa adicional. As conclusões sobre a operação desta seção referem-se, assim, ao BESS disponível; para o BESS a construir, a operação de referência é a de 60 MW.</w:t>
      </w:r>
    </w:p>
    <w:bookmarkStart w:id="30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4.5(a)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4.5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estocastico_unife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4.5,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4.9.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4.9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4.10):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4.5(b):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30"/>
    <w:bookmarkStart w:id="31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4.10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4.10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p>
      <w:pPr>
        <w:pStyle w:val="BodyText"/>
      </w:pPr>
      <w:r>
        <w:rPr>
          <w:b/>
          <w:bCs/>
        </w:rPr>
        <w:t xml:space="preserve">Avaliação fora da amostra.</w:t>
      </w:r>
      <w:r>
        <w:t xml:space="preserve"> </w:t>
      </w:r>
      <w:r>
        <w:t xml:space="preserve">Como os cinco anos são uma amostra pequena e o VSS e o EVPI são medidos dentro dela, a decisão foi avaliada também fora da amostra: para cada ano, a potência foi escolhida, na grade de 2,5 MW da curva de oferta, com os outros quatro anos, e avaliada no ano deixado de fora. Com a receita de referência, a decisão só muda quando 2021 é retirado da amostra, caindo de 55 para 52,5 MW; nesse caso, contratar 52,5 MW em 2021 custaria R$ 572 mil a menos do que a decisão com os cinco anos, pois, na crise hídrica, o ótimo daquele ano é contratar toda a potência. Nos demais anos, a decisão com quatro anos coincide com a de cinco. A perda média fora da amostra, em relação à decisão ótima de cada ano, é de R$ 259 mil por ano (0,38% do lucro esperado), da mesma ordem do EVPI. Com receitas de R$ 330 mil, R$ 830 mil e R$ 1,0 milhão/(MW·ano), a perda média fica entre R$ 36 mil e R$ 342 mil por ano, e a decisão varia no máximo um passo da grade. A decisão é, portanto, robusta à composição da amostra; o ano que mais a influencia é 2021, o de preços mais altos.</w:t>
      </w:r>
    </w:p>
    <w:p>
      <w:pPr>
        <w:pStyle w:val="BodyText"/>
      </w:pPr>
      <w:r>
        <w:rPr>
          <w:b/>
          <w:bCs/>
        </w:rPr>
        <w:t xml:space="preserve">Previsão perfeita dentro do ano.</w:t>
      </w:r>
      <w:r>
        <w:t xml:space="preserve"> </w:t>
      </w:r>
      <w:r>
        <w:t xml:space="preserve">O VSS e o EVPI tratam apenas da variação entre anos; dentro de cada cenário, a operação é otimizada com conhecimento antecipado das séries (Seção 3.10, hipótese a). Para medir esse viés, o ano de 2025 foi operado também em horizonte rolante: a cada hora, o MILP da Seção 3.4 é resolvido numa janela de 48 h, com o PLD conhecido (publicado na véspera), o perfil de despacho do ONS, a geração FV da hora medida e, nas horas seguintes, prevista por persistência (a da mesma hora do dia anterior), a partir dos estados reais do módulo mercantil, do tanque e do eletrolisador; apenas a decisão da primeira hora é executada, e o lucro é apurado com os dados reais. Com a geração FV conhecida, a janela de 48 h reproduz o lucro de previsão perfeita (diferença de +0,02%, dentro da precisão da decomposição), de modo que o viés decorre apenas do erro de previsão. Com a previsão por persistência, o lucro operacional cai R$ 13 mil por ano (−0,03%) com 30 MW contratados, R$ 188 mil (−0,54%) com 55 MW e nada com 60 MW. O viés é nulo com 60 MW porque, sem módulo mercantil, não há energia a deslocar no tempo e a operação independe da previsão; é pequeno com 30 MW porque o módulo mercantil, de 156 MWh, tem folga para absorver o erro; e é maior com 55 MW, quando o módulo, de 36 MWh, é escasso e cada erro de previsão desloca energia que o eletrolisador usaria à noite. Com previsão imperfeita, o eletrolisador parte 163 vezes no ano com 55 MW, contra 75 na previsão perfeita, menos de uma vez a cada dois dias.</w:t>
      </w:r>
    </w:p>
    <w:p>
      <w:pPr>
        <w:pStyle w:val="BodyText"/>
      </w:pPr>
      <w:r>
        <w:t xml:space="preserve">Três consequências decorrem desse resultado. Primeiro, o viés é muito menor do que o de 18% obtido por García-Miguel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para uma usina eólica com eletrolisador e bateria no mercado do dia seguinte dinamarquês, em que o erro de previsão do vento é maior e os desvios são penalizados; no MCP, o PLD é conhecido na véspera e não há penalidade por desvio. Segundo, ao superestimar o lucro com 55 MW e não com 60 MW, a previsão perfeita superestima o custo de oportunidade dos últimos 5 MW em cerca de R$ 38 mil/(MW·ano), cerca de 5% do valor da Figura 4.6(b), sem alterar a potência ótima para a receita de referência. Terceiro, o lance mínimo de um BESS a construir não é afetado, pois, no lance, a potência ofertada é a do BESS inteiro, em que o viés é nulo. A persistência é a previsão mais simples possível; com uma previsão melhor, o viés seria ainda menor.</w:t>
      </w:r>
    </w:p>
    <w:bookmarkEnd w:id="31"/>
    <w:bookmarkStart w:id="35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4.6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4.6(b)).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4.6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as/curva_ofert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4.6(c)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4.6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5"/>
    <w:bookmarkStart w:id="36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4.11 resume, para a receita fixa de referência, a potência ótima, o lucro e a operação média de cada caso.</w:t>
      </w:r>
    </w:p>
    <w:p>
      <w:pPr>
        <w:pStyle w:val="Legenda"/>
      </w:pPr>
      <w:r>
        <w:t xml:space="preserve">Tabela 4.11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4.4).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6"/>
    <w:bookmarkStart w:id="40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4.7 e a Tabela 4.12 comparam esses casos com o caso de referência, em que a importação é vedada, e com o de importação livre.</w:t>
      </w:r>
    </w:p>
    <w:p>
      <w:pPr>
        <w:pStyle w:val="Legenda"/>
      </w:pPr>
      <w:r>
        <w:t xml:space="preserve">Figura 4.7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as/curva_oferta_emisso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4.4):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bookmarkEnd w:id="40"/>
    <w:bookmarkStart w:id="44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4.8 e a Tabela 4.13 apresentam a curva de oferta do caso de referência para 50, 150 e 365 despachos por ano.</w:t>
      </w:r>
    </w:p>
    <w:p>
      <w:pPr>
        <w:pStyle w:val="Legenda"/>
      </w:pPr>
      <w:r>
        <w:t xml:space="preserve">Figura 4.8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as/curva_oferta_ciclo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4.13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4.8(b)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p>
      <w:pPr>
        <w:pStyle w:val="BodyText"/>
      </w:pPr>
      <w:r>
        <w:t xml:space="preserve">O critério de escolha das horas de descarga também é desconhecido. O perfil do caso de referência descarrega no bloco de quatro horas de maior PLD após o período solar; como alternativa, avaliou-se um perfil que descarrega na ponta da carga líquida do SIN e recarrega nas horas de menor carga líquida da janela de recarga (Seção 3.7.2). Entre 2021 e 2025, a carga líquida média foi de 56 a 59 GW, e sua ponta ocorreu sobretudo entre 18 h e 22 h, como a do PLD: os dois perfis coincidem em 83% a 94% das horas de descarga, conforme o ano, e o PLD médio nas horas de descarga difere em menos de R$ 1/MWh. O resultado é que a curva de oferta não se altera: o lucro operacional esperado difere do caso de referência em menos de R$ 60 por ano em todas as potências, valor da ordem da tolerância do</w:t>
      </w:r>
      <w:r>
        <w:t xml:space="preserve"> </w:t>
      </w:r>
      <w:r>
        <w:rPr>
          <w:i/>
          <w:iCs/>
        </w:rPr>
        <w:t xml:space="preserve">solver</w:t>
      </w:r>
      <w:r>
        <w:t xml:space="preserve">, e a potência ótima (55 MW), a receita mínima de entrada (R$ 76 mil/(MW·ano)) e o lance mínimo (Tabela 4.6) são os mesmos. Isso decorre da separação entre os módulos: a energia do módulo LRCAP é liquidada pela CONCAP, e o perfil afeta o empreendedor apenas pela degradação, que depende do número de ciclos e não das horas em que ocorrem, e pelo limite do ponto de conexão, que não se mostrou ativo. Assim, o resultado é robusto ao critério de despacho do ONS, desde que o número de ciclos seja mantido e a recarga ocorra dentro da janela solar.</w:t>
      </w:r>
    </w:p>
    <w:bookmarkEnd w:id="44"/>
    <w:bookmarkStart w:id="51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4.9 e a Tabela 4.14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4.9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degradaca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4.14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4.9(b):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4.10 e a Tabela 4.15 comparam eletrolisadores de 10, 17,5 e 25 MW, mantida a usina FV de 50 MWp.</w:t>
      </w:r>
    </w:p>
    <w:p>
      <w:pPr>
        <w:pStyle w:val="Legenda"/>
      </w:pPr>
      <w:r>
        <w:t xml:space="preserve">Figura 4.10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as/curva_oferta_eletrolisado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4.15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4.6).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4.4).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51"/>
    <w:bookmarkStart w:id="58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4.11.</w:t>
      </w:r>
    </w:p>
    <w:p>
      <w:pPr>
        <w:pStyle w:val="Legenda"/>
      </w:pPr>
      <w:r>
        <w:t xml:space="preserve">Figura 4.11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4.12).</w:t>
      </w:r>
    </w:p>
    <w:p>
      <w:pPr>
        <w:pStyle w:val="Legenda"/>
      </w:pPr>
      <w:r>
        <w:t xml:space="preserve">Figura 4.12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4.11 e 4.12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8"/>
    <w:bookmarkEnd w:id="59"/>
    <w:bookmarkStart w:id="60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com custos de BESS próximos dos internacionais de 2025 (US$ 110 a 219/kWh, contra cerca de US$ 254/kWh implícitos no valor da EPE), cairia para R$ 0,50 milhão a R$ 1,00 milhão;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60"/>
    <w:bookmarkStart w:id="61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61"/>
    <w:bookmarkEnd w:id="62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2026-10-20T23:27:32Z</dcterms:created>
  <dcterms:modified xsi:type="dcterms:W3CDTF">2026-10-20T23:27:32Z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