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O custo de degradação pode ser estimado como o custo de reposição dos módulos de bateria dividido pela energia que eles descarregam ao longo da vida útil.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obtém-se entre R$ 120 e R$ 185 por MWh descarregado. O valor de R$ 50/MWh adotado no caso de referência situa-se abaixo dessa faixa; por isso, o efeito de valores de R$ 100 e R$ 200/MWh é avaliado na Seção 3.8.4.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blocos;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Hipótese do autor; o O&amp;M variável do eletrolisador e a degradação do BESS já estão no modelo de operação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8,0% e 12,1%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geração, após e antes de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lucro operacional não considera tributos sobre a renda, o VPL calculado com a taxa após impostos é otimista; a taxa antes de impostos fornece uma avaliação mais conservadora.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</m:oMath>
      <w:r>
        <w:t xml:space="preserve">. A potência ofertada passa a ser dada pela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para as três faixas de investimento e para as duas taxas de desconto do Quadro 3.3.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permite também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condição de indiferença</w:t>
      </w:r>
      <w:r>
        <w:t xml:space="preserve"> </w:t>
      </w:r>
      <m:oMath>
        <m:r>
          <m:t>R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C</m:t>
                        </m:r>
                      </m:e>
                      <m:sup>
                        <m:r>
                          <m:t>b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s</m:t>
                        </m:r>
                      </m:sup>
                    </m:sSup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κ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MW, acrescido do custo de degradação imposto pelo despacho do ONS e do custo da recarga excedente. A aproximação desconsidera o valor residual do uso mercantil da bateria e é verificada no Capítulo 4.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descarga, e seu valor de referência (R$ 50/MWh) é inferior à estimativa baseada no custo de reposição dos módulos, o que é tratado por análise de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 o efeito dessa restrição é verificado com blocos de até 28 dias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sem tributos sobre a renda, sem financiamento, sem valor residual e com custo de O&amp;M fixo hipotético, e utiliza o lucro operacional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2026-10-04T21:12:07Z</dcterms:created>
  <dcterms:modified xsi:type="dcterms:W3CDTF">2026-10-04T21:12:07Z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