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  <Override PartName="/word/media/rId33.png" ContentType="image/png"/>
  <Override PartName="/word/media/rId37.png" ContentType="image/png"/>
  <Override PartName="/word/media/rId40.png" ContentType="image/png"/>
  <Override PartName="/word/media/rId17.png" ContentType="image/png"/>
  <Override PartName="/word/media/rId23.png" ContentType="image/png"/>
  <Override PartName="/word/media/rId47.png" ContentType="image/png"/>
  <Override PartName="/word/media/rId44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de 60 MW e 300 MWh, conectada ao submercado SE/CO. A Seção 4.1 avalia o desempenho do método de solução no caso determinístico de 2025. A Seção 4.2 apresenta o resultado principal, a decisão de um proponente que precisa construir o BESS: a viabilidade do empreendimento e o lance mínimo no leilão. A Seção 4.3 analisa a decisão de quanto contratar quando o BESS está disponível e os fatores que a determinam. A Seção 4.4 sintetiza os resultados. Salvo indicação em contrário, os resultados correspondem ao lucro esperado nos cinco cenários anuais de 2021 a 2025 (Seção 3.7.2), em valores de dezembro de 2025; a Seção 4.1 e a Subseção 4.3.7 utilizam o caso determinístico de 2025 (Seção 3.5).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(R$ 50/MWh), a multa contratual por déficit de hidrogênio e o custo de O&amp;M fixo — tem caráter provisório, conforme discutido nas Seções 3.5 e 3.8.2. Por isso, a ênfase deste capítulo recai sobre as relações entre as decisões e as hipóteses, e não sobre os valores absolutos de lucro.</w:t>
      </w:r>
    </w:p>
    <w:bookmarkStart w:id="12" w:name="desempenho-do-método-de-solução"/>
    <w:p>
      <w:pPr>
        <w:pStyle w:val="Heading2"/>
      </w:pPr>
      <w:r>
        <w:t xml:space="preserve">4.1 Desempenho do método de solução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única tentativa de solução direta do MILP anual, interrompida após 15 minutos sem solução (Seção 3.6.1).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Subseção 4.3.1.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As diferenças de composição decorrem principalmente do preço. Embora a série ERA5 de 2025 apresente fator de capacidade FV ligeiramente inferior ao da média dos cenários SARAH-3 (16,9% contra 17,5%), o caso determinístico produz mais hidrogênio. No modelo estocástico, os picos de PLD do cenário de 2021, que superam o valor da energia no eletrolisador, tornam a exportação ao MCP mais vantajosa em parte das horas, o que eleva a receita média no mercado de curto prazo e reduz a produção de hidrogênio. A coincidência das potências ótimas antecipa o resultado da Subseção 4.3.2: a variação entre anos pouco altera a decisão de contratação.</w:t>
      </w:r>
    </w:p>
    <w:p>
      <w:pPr>
        <w:pStyle w:val="BodyText"/>
      </w:pPr>
      <w:r>
        <w:rPr>
          <w:b/>
          <w:bCs/>
        </w:rPr>
        <w:t xml:space="preserve">Decomposição em blocos.</w:t>
      </w:r>
      <w:r>
        <w:t xml:space="preserve"> </w:t>
      </w:r>
      <w:r>
        <w:t xml:space="preserve">Para a potência de 54,44 MW, o lucro anual do caso determinístico de 2025 foi idêntico com blocos de 7, 14 e 28 dias (diferença relativa inferior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). Refeita a decomposição com blocos de 14 dias, o algoritmo de Benders convergiu para 55,5 MW e R$ 67,53 milhões, contra 54,4 MW e R$ 67,51 milhões com blocos semanais — diferença de 0,03%, inferior à tolerância de convergência e situada na região plana do ótimo. As condições cíclicas semanais, portanto, não restringem a operação de forma mensurável, o que é coerente com a operação em ciclos diários do módulo mercantil e do tanque, cujos estados de armazenamento tendem a retornar aos mesmos valores ao fim de cada semana.</w:t>
      </w:r>
    </w:p>
    <w:bookmarkEnd w:id="12"/>
    <w:bookmarkStart w:id="22" w:name="Xb33ba098ecda1c076dd3fa5147f472532b1bd56"/>
    <w:p>
      <w:pPr>
        <w:pStyle w:val="Heading2"/>
      </w:pPr>
      <w:r>
        <w:t xml:space="preserve">4.2 BESS a construir: viabilidade e lance mínimo</w:t>
      </w:r>
    </w:p>
    <w:p>
      <w:pPr>
        <w:pStyle w:val="FirstParagraph"/>
      </w:pPr>
      <w:r>
        <w:t xml:space="preserve">Esta seção apresenta o resultado principal do trabalho: a decisão de um proponente que precisa construir o BESS para participar do leilão, situação prevista na Portaria, que trata da contratação de novos sistemas de armazenamento (BRASIL, 2026). A Subseção 4.2.1 avalia a viabilidade do empreendimento com a receita fixa de referência; a Subseção 4.2.2, o valor do BESS e o lance mínimo; e a Subseção 4.2.3, a sensibilidade do lance mínimo às hipóteses do modelo.</w:t>
      </w:r>
    </w:p>
    <w:bookmarkStart w:id="16" w:name="viabilidade-do-empreendimento"/>
    <w:p>
      <w:pPr>
        <w:pStyle w:val="Heading3"/>
      </w:pPr>
      <w:r>
        <w:t xml:space="preserve">4.2.1 Viabilidade do empreendimento</w:t>
      </w:r>
    </w:p>
    <w:p>
      <w:pPr>
        <w:pStyle w:val="FirstParagraph"/>
      </w:pPr>
      <w:r>
        <w:t xml:space="preserve">O modelo de operação maximiza o lucro operacional, sem os custos de investimento. Esta subseção avalia, segundo o procedimento da Seção 3.8.2, se o empreendimento se paga com a receita fixa de referência. Os resultados são apresentados na Tabela 4.2 e na Figura 4.2.</w:t>
      </w:r>
    </w:p>
    <w:p>
      <w:pPr>
        <w:pStyle w:val="Legenda"/>
      </w:pPr>
      <w:r>
        <w:t xml:space="preserve">Tabela 4.2 – Viabilidade econômica em 15 anos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3"/>
        <w:gridCol w:w="851"/>
        <w:gridCol w:w="851"/>
        <w:gridCol w:w="1873"/>
        <w:gridCol w:w="851"/>
        <w:gridCol w:w="681"/>
        <w:gridCol w:w="9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Invest. (R$ mi)</w:t>
            </w:r>
          </w:p>
        </w:tc>
        <w:tc>
          <w:tcPr/>
          <w:p>
            <w:pPr>
              <w:pStyle w:val="Compact"/>
            </w:pPr>
            <w:r>
              <w:t xml:space="preserve">Lucro op. (R$ mi/ano)</w:t>
            </w:r>
          </w:p>
        </w:tc>
        <w:tc>
          <w:tcPr/>
          <w:p>
            <w:pPr>
              <w:pStyle w:val="Compact"/>
            </w:pPr>
            <w:r>
              <w:t xml:space="preserve">VPL a 8,0% (R$ mi)</w:t>
            </w:r>
          </w:p>
        </w:tc>
        <w:tc>
          <w:tcPr/>
          <w:p>
            <w:pPr>
              <w:pStyle w:val="Compact"/>
            </w:pPr>
            <w:r>
              <w:t xml:space="preserve">VPL a 12,1% (R$ mi)</w:t>
            </w:r>
          </w:p>
        </w:tc>
        <w:tc>
          <w:tcPr/>
          <w:p>
            <w:pPr>
              <w:pStyle w:val="Compact"/>
            </w:pPr>
            <w:r>
              <w:t xml:space="preserve">TIR real</w:t>
            </w:r>
          </w:p>
        </w:tc>
        <w:tc>
          <w:tcPr/>
          <w:p>
            <w:pPr>
              <w:pStyle w:val="Compact"/>
            </w:pPr>
            <w:r>
              <w:t xml:space="preserve">H₂ eq. (R$/kg)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−295 (−461 a −81)</w:t>
            </w:r>
          </w:p>
        </w:tc>
        <w:tc>
          <w:tcPr/>
          <w:p>
            <w:pPr>
              <w:pStyle w:val="Compact"/>
            </w:pPr>
            <w:r>
              <w:t xml:space="preserve">−386</w:t>
            </w:r>
          </w:p>
        </w:tc>
        <w:tc>
          <w:tcPr/>
          <w:p>
            <w:pPr>
              <w:pStyle w:val="Compact"/>
            </w:pPr>
            <w:r>
              <w:t xml:space="preserve">0,6%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61,3</w:t>
            </w:r>
          </w:p>
        </w:tc>
        <w:tc>
          <w:tcPr/>
          <w:p>
            <w:pPr>
              <w:pStyle w:val="Compact"/>
            </w:pPr>
            <w:r>
              <w:t xml:space="preserve">−353 (−520 a −140)</w:t>
            </w:r>
          </w:p>
        </w:tc>
        <w:tc>
          <w:tcPr/>
          <w:p>
            <w:pPr>
              <w:pStyle w:val="Compact"/>
            </w:pPr>
            <w:r>
              <w:t xml:space="preserve">−432</w:t>
            </w:r>
          </w:p>
        </w:tc>
        <w:tc>
          <w:tcPr/>
          <w:p>
            <w:pPr>
              <w:pStyle w:val="Compact"/>
            </w:pPr>
            <w:r>
              <w:t xml:space="preserve">−1,2%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64,3</w:t>
            </w:r>
          </w:p>
        </w:tc>
        <w:tc>
          <w:tcPr/>
          <w:p>
            <w:pPr>
              <w:pStyle w:val="Compact"/>
            </w:pPr>
            <w:r>
              <w:t xml:space="preserve">−327 (−494 a −113)</w:t>
            </w:r>
          </w:p>
        </w:tc>
        <w:tc>
          <w:tcPr/>
          <w:p>
            <w:pPr>
              <w:pStyle w:val="Compact"/>
            </w:pPr>
            <w:r>
              <w:t xml:space="preserve">−412</w:t>
            </w:r>
          </w:p>
        </w:tc>
        <w:tc>
          <w:tcPr/>
          <w:p>
            <w:pPr>
              <w:pStyle w:val="Compact"/>
            </w:pPr>
            <w:r>
              <w:t xml:space="preserve">−0,4%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−120 (−287 a +94)</w:t>
            </w:r>
          </w:p>
        </w:tc>
        <w:tc>
          <w:tcPr/>
          <w:p>
            <w:pPr>
              <w:pStyle w:val="Compact"/>
            </w:pPr>
            <w:r>
              <w:t xml:space="preserve">−248</w:t>
            </w:r>
          </w:p>
        </w:tc>
        <w:tc>
          <w:tcPr/>
          <w:p>
            <w:pPr>
              <w:pStyle w:val="Compact"/>
            </w:pPr>
            <w:r>
              <w:t xml:space="preserve">5,2%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68,8</w:t>
            </w:r>
          </w:p>
        </w:tc>
        <w:tc>
          <w:tcPr/>
          <w:p>
            <w:pPr>
              <w:pStyle w:val="Compact"/>
            </w:pPr>
            <w:r>
              <w:t xml:space="preserve">−289 (−455 a −75)</w:t>
            </w:r>
          </w:p>
        </w:tc>
        <w:tc>
          <w:tcPr/>
          <w:p>
            <w:pPr>
              <w:pStyle w:val="Compact"/>
            </w:pPr>
            <w:r>
              <w:t xml:space="preserve">−382</w:t>
            </w:r>
          </w:p>
        </w:tc>
        <w:tc>
          <w:tcPr/>
          <w:p>
            <w:pPr>
              <w:pStyle w:val="Compact"/>
            </w:pPr>
            <w:r>
              <w:t xml:space="preserve">0,7%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651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−259 (−400 a −91)</w:t>
            </w:r>
          </w:p>
        </w:tc>
        <w:tc>
          <w:tcPr/>
          <w:p>
            <w:pPr>
              <w:pStyle w:val="Compact"/>
            </w:pPr>
            <w:r>
              <w:t xml:space="preserve">−341</w:t>
            </w:r>
          </w:p>
        </w:tc>
        <w:tc>
          <w:tcPr/>
          <w:p>
            <w:pPr>
              <w:pStyle w:val="Compact"/>
            </w:pPr>
            <w:r>
              <w:t xml:space="preserve">0,7%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813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−351 (−542 a −91)</w:t>
            </w:r>
          </w:p>
        </w:tc>
        <w:tc>
          <w:tcPr/>
          <w:p>
            <w:pPr>
              <w:pStyle w:val="Compact"/>
            </w:pPr>
            <w:r>
              <w:t xml:space="preserve">−447</w:t>
            </w:r>
          </w:p>
        </w:tc>
        <w:tc>
          <w:tcPr/>
          <w:p>
            <w:pPr>
              <w:pStyle w:val="Compact"/>
            </w:pPr>
            <w:r>
              <w:t xml:space="preserve">0,0%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R$ 200/MWh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−408 (−574 a −194)</w:t>
            </w:r>
          </w:p>
        </w:tc>
        <w:tc>
          <w:tcPr/>
          <w:p>
            <w:pPr>
              <w:pStyle w:val="Compact"/>
            </w:pPr>
            <w:r>
              <w:t xml:space="preserve">−475</w:t>
            </w:r>
          </w:p>
        </w:tc>
        <w:tc>
          <w:tcPr/>
          <w:p>
            <w:pPr>
              <w:pStyle w:val="Compact"/>
            </w:pPr>
            <w:r>
              <w:t xml:space="preserve">−3,0%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</w:tr>
    </w:tbl>
    <w:p>
      <w:pPr>
        <w:pStyle w:val="Fonte"/>
      </w:pPr>
      <w:r>
        <w:t xml:space="preserve">Fonte: elaborado pelo autor. Investimento, TIR e preço de equilíbrio do H₂ (H₂ eq., à taxa de 8,0%) com investimento central; entre parênteses, VPL com investimento alto e baixo.</w:t>
      </w:r>
    </w:p>
    <w:p>
      <w:pPr>
        <w:pStyle w:val="BodyText"/>
      </w:pPr>
      <w:r>
        <w:t xml:space="preserve">Com os parâmetros adotados, nenhum caso é economicamente viável com investimento central. No caso de referência, o investimento de R$ 732 milhões — R$ 213 milhões na usina FV, R$ 330 milhões no BESS e R$ 189 milhões no eletrolisador — gera fluxo anual de R$ 51 milhões, após R$ 17 milhões de O&amp;M fixo, e a TIR real é de apenas 0,6%. O preço do hidrogênio que tornaria o VPL nulo à taxa de 8% é de cerca de R$ 68/kg, praticamente o dobro do valor adotado. O único caso com VPL positivo é o de importação de energia com investimentos no limite inferior das faixas (R$ 94 milhões), o que antecipa a importância da regra de suprimento do eletrolisador discutida na Subseção 4.3.4.</w:t>
      </w:r>
    </w:p>
    <w:p>
      <w:pPr>
        <w:pStyle w:val="Legenda"/>
      </w:pPr>
      <w:r>
        <w:t xml:space="preserve">Figura 4.2 – Viabilidade econômica: (a) VPL do projeto por caso; (b) ganho anual proporcionado pelo BESS em função da receita fixa, comparado com o seu custo anual equivalente</w:t>
      </w:r>
    </w:p>
    <w:p>
      <w:pPr>
        <w:pStyle w:val="Figura"/>
      </w:pPr>
      <w:r>
        <w:drawing>
          <wp:inline>
            <wp:extent cx="5334000" cy="190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viabilidad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bookmarkEnd w:id="16"/>
    <w:bookmarkStart w:id="20" w:name="valor-do-bess-e-lance-mínimo"/>
    <w:p>
      <w:pPr>
        <w:pStyle w:val="Heading3"/>
      </w:pPr>
      <w:r>
        <w:t xml:space="preserve">4.2.2 Valor do BESS e lance mínimo</w:t>
      </w:r>
    </w:p>
    <w:p>
      <w:pPr>
        <w:pStyle w:val="FirstParagraph"/>
      </w:pPr>
      <w:r>
        <w:rPr>
          <w:b/>
          <w:bCs/>
        </w:rPr>
        <w:t xml:space="preserve">Valor do BESS.</w:t>
      </w:r>
      <w:r>
        <w:t xml:space="preserve"> </w:t>
      </w:r>
      <w:r>
        <w:t xml:space="preserve">Sem a bateria, e portanto sem o leilão, o lucro operacional esperado é de R$ 35,4 milhões por ano. Com o BESS e a contratação de 55 MW à receita de R$ 600 mil/(MW·ano), passa a R$ 68,1 milhões. O ganho de R$ 32,8 milhões por ano não cobre o custo anual equivalente do BESS, de R$ 46,8 milhões à taxa de 8% com investimento central (Figura 4.2(b)). Sem a receita do leilão, a bateria agrega apenas R$ 9,7 milhões por ano, provenientes do suprimento noturno do eletrolisador e da arbitragem no MCP; é, portanto, a receita fixa do LRCAP que pode viabilizá-la.</w:t>
      </w:r>
    </w:p>
    <w:p>
      <w:pPr>
        <w:pStyle w:val="BodyText"/>
      </w:pPr>
      <w:r>
        <w:rPr>
          <w:b/>
          <w:bCs/>
        </w:rPr>
        <w:t xml:space="preserve">Lance mínimo.</w:t>
      </w:r>
      <w:r>
        <w:t xml:space="preserve"> </w:t>
      </w:r>
      <w:r>
        <w:t xml:space="preserve">A Figura 4.3 compara a curva de oferta de um BESS já existente, obtida na Subseção 4.3.3, com a de um BESS a construir, e a Tabela 4.3 apresenta o lance mínimo para cada faixa de investimento e taxa de desconto.</w:t>
      </w:r>
    </w:p>
    <w:p>
      <w:pPr>
        <w:pStyle w:val="Legenda"/>
      </w:pPr>
      <w:r>
        <w:t xml:space="preserve">Figura 4.3 – Curva de oferta com o investimento no BESS: (a) potência ótima a ofertar com BESS existente e a construir; (b) lance mínimo por faixa de investimento e taxa de desconto</w:t>
      </w:r>
    </w:p>
    <w:p>
      <w:pPr>
        <w:pStyle w:val="Figura"/>
      </w:pPr>
      <w:r>
        <w:drawing>
          <wp:inline>
            <wp:extent cx="5334000" cy="229772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as/curva_oferta_investiment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4.3 – Lance mínimo para a construção do BESS, em R$ mil/(MW·ano), e potência ofertada nesse 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Investimento baixo (R$ 5.000/kW)</w:t>
            </w:r>
          </w:p>
        </w:tc>
        <w:tc>
          <w:tcPr/>
          <w:p>
            <w:pPr>
              <w:pStyle w:val="Compact"/>
            </w:pPr>
            <w:r>
              <w:t xml:space="preserve">Investimento central (R$ 5.500/kW)</w:t>
            </w:r>
          </w:p>
        </w:tc>
        <w:tc>
          <w:tcPr/>
          <w:p>
            <w:pPr>
              <w:pStyle w:val="Compact"/>
            </w:pPr>
            <w:r>
              <w:t xml:space="preserve">Investimento alto (R$ 6.000/kW)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780 (57,5 MW)</w:t>
            </w:r>
          </w:p>
        </w:tc>
        <w:tc>
          <w:tcPr/>
          <w:p>
            <w:pPr>
              <w:pStyle w:val="Compact"/>
            </w:pPr>
            <w:r>
              <w:t xml:space="preserve">855 (57,5 MW)</w:t>
            </w:r>
          </w:p>
        </w:tc>
        <w:tc>
          <w:tcPr/>
          <w:p>
            <w:pPr>
              <w:pStyle w:val="Compact"/>
            </w:pPr>
            <w:r>
              <w:t xml:space="preserve">925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12,1%</w:t>
            </w:r>
          </w:p>
        </w:tc>
        <w:tc>
          <w:tcPr/>
          <w:p>
            <w:pPr>
              <w:pStyle w:val="Compact"/>
            </w:pPr>
            <w:r>
              <w:t xml:space="preserve">940 (60 MW)</w:t>
            </w:r>
          </w:p>
        </w:tc>
        <w:tc>
          <w:tcPr/>
          <w:p>
            <w:pPr>
              <w:pStyle w:val="Compact"/>
            </w:pPr>
            <w:r>
              <w:t xml:space="preserve">1.025 (60 MW)</w:t>
            </w:r>
          </w:p>
        </w:tc>
        <w:tc>
          <w:tcPr/>
          <w:p>
            <w:pPr>
              <w:pStyle w:val="Compact"/>
            </w:pPr>
            <w:r>
              <w:t xml:space="preserve">1.110 (60 MW)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Quando o BESS ainda será construído, a curva de oferta deixa de ser escalonada e passa a ser do tipo</w:t>
      </w:r>
      <w:r>
        <w:t xml:space="preserve"> </w:t>
      </w:r>
      <w:r>
        <w:t xml:space="preserve">“tudo ou nada”</w:t>
      </w:r>
      <w:r>
        <w:t xml:space="preserve">: abaixo do lance mínimo, o proponente não constrói a bateria e não oferta potência; acima dele, oferta entre 57,5 e 60 MW. A curva escalonada da Seção 4.3 descreve, portanto, a decisão de um proponente que já dispõe do BESS. O lance mínimo no caso central, de R$ 855 mil/(MW·ano), é praticamente igual à soma do custo anual equivalente do BESS por MW (R$ 780 mil) com o custo de degradação do despacho diário do módulo LRCAP (R$ 73 mil), o que indica que o uso mercantil da bateria pouco reduz o lance quando ela é construída para o leilão. Esse valor é próximo do preço médio obtido por termelétricas existentes no LRCAP de março de 2026 (R$ 831 mil/(MW·ano)) e muito inferior ao das termelétricas e hidrelétricas do leilão anterior (R$ 2,33 milhões/(MW·ano)), o que sugere que o armazenamento em baterias é competitivo frente à expansão térmica, mas não frente às usinas existentes. A receita de R$ 600 mil/(MW·ano) adotada no caso de referência é inferior ao lance mínimo em todas as combinações avaliadas: com ela, um proponente racional não construiria o BESS.</w:t>
      </w:r>
    </w:p>
    <w:bookmarkEnd w:id="20"/>
    <w:bookmarkStart w:id="21" w:name="sensibilidade-do-lance-mínimo"/>
    <w:p>
      <w:pPr>
        <w:pStyle w:val="Heading3"/>
      </w:pPr>
      <w:r>
        <w:t xml:space="preserve">4.2.3 Sensibilidade do lance mínimo</w:t>
      </w:r>
    </w:p>
    <w:p>
      <w:pPr>
        <w:pStyle w:val="FirstParagraph"/>
      </w:pPr>
      <w:r>
        <w:t xml:space="preserve">O lance mínimo da Subseção 4.2.2 foi recalculado para cada caso de sensibilidade da Seção 3.8.4, com investimento central. Nos casos que alteram o contrato de hidrogênio, a importação e o tamanho do eletrolisador, o lucro sem BESS também foi recalculado. Os resultados são apresentados na Tabela 4.4.</w:t>
      </w:r>
    </w:p>
    <w:p>
      <w:pPr>
        <w:pStyle w:val="Legenda"/>
      </w:pPr>
      <w:r>
        <w:t xml:space="preserve">Tabela 4.4 – Lance mínimo para a construção do BESS por caso, em R$ mil/(MW·ano), com investimento central, e potência ofertada nesse lance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Taxa de 8,0%</w:t>
            </w:r>
          </w:p>
        </w:tc>
        <w:tc>
          <w:tcPr/>
          <w:p>
            <w:pPr>
              <w:pStyle w:val="Compact"/>
            </w:pPr>
            <w:r>
              <w:t xml:space="preserve">Taxa de 12,1%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855 (57,5 MW)</w:t>
            </w:r>
          </w:p>
        </w:tc>
        <w:tc>
          <w:tcPr/>
          <w:p>
            <w:pPr>
              <w:pStyle w:val="Compact"/>
            </w:pPr>
            <w:r>
              <w:t xml:space="preserve">1.025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855 (60 MW)</w:t>
            </w:r>
          </w:p>
        </w:tc>
        <w:tc>
          <w:tcPr/>
          <w:p>
            <w:pPr>
              <w:pStyle w:val="Compact"/>
            </w:pPr>
            <w:r>
              <w:t xml:space="preserve">1.025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815 (55 MW)</w:t>
            </w:r>
          </w:p>
        </w:tc>
        <w:tc>
          <w:tcPr/>
          <w:p>
            <w:pPr>
              <w:pStyle w:val="Compact"/>
            </w:pPr>
            <w:r>
              <w:t xml:space="preserve">995 (57,5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855 (60 MW)</w:t>
            </w:r>
          </w:p>
        </w:tc>
        <w:tc>
          <w:tcPr/>
          <w:p>
            <w:pPr>
              <w:pStyle w:val="Compact"/>
            </w:pPr>
            <w:r>
              <w:t xml:space="preserve">1.025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855 (60 MW)</w:t>
            </w:r>
          </w:p>
        </w:tc>
        <w:tc>
          <w:tcPr/>
          <w:p>
            <w:pPr>
              <w:pStyle w:val="Compact"/>
            </w:pPr>
            <w:r>
              <w:t xml:space="preserve">1.025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845 (57,5 MW)</w:t>
            </w:r>
          </w:p>
        </w:tc>
        <w:tc>
          <w:tcPr/>
          <w:p>
            <w:pPr>
              <w:pStyle w:val="Compact"/>
            </w:pPr>
            <w:r>
              <w:t xml:space="preserve">1.020 (57,5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855 (60 MW)</w:t>
            </w:r>
          </w:p>
        </w:tc>
        <w:tc>
          <w:tcPr/>
          <w:p>
            <w:pPr>
              <w:pStyle w:val="Compact"/>
            </w:pPr>
            <w:r>
              <w:t xml:space="preserve">1.025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despachos/ano</w:t>
            </w:r>
          </w:p>
        </w:tc>
        <w:tc>
          <w:tcPr/>
          <w:p>
            <w:pPr>
              <w:pStyle w:val="Compact"/>
            </w:pPr>
            <w:r>
              <w:t xml:space="preserve">790 (57,5 MW)</w:t>
            </w:r>
          </w:p>
        </w:tc>
        <w:tc>
          <w:tcPr/>
          <w:p>
            <w:pPr>
              <w:pStyle w:val="Compact"/>
            </w:pPr>
            <w:r>
              <w:t xml:space="preserve">960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despachos/ano</w:t>
            </w:r>
          </w:p>
        </w:tc>
        <w:tc>
          <w:tcPr/>
          <w:p>
            <w:pPr>
              <w:pStyle w:val="Compact"/>
            </w:pPr>
            <w:r>
              <w:t xml:space="preserve">810 (57,5 MW)</w:t>
            </w:r>
          </w:p>
        </w:tc>
        <w:tc>
          <w:tcPr/>
          <w:p>
            <w:pPr>
              <w:pStyle w:val="Compact"/>
            </w:pPr>
            <w:r>
              <w:t xml:space="preserve">980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R$ 100/MWh</w:t>
            </w:r>
          </w:p>
        </w:tc>
        <w:tc>
          <w:tcPr/>
          <w:p>
            <w:pPr>
              <w:pStyle w:val="Compact"/>
            </w:pPr>
            <w:r>
              <w:t xml:space="preserve">930 (60 MW)</w:t>
            </w:r>
          </w:p>
        </w:tc>
        <w:tc>
          <w:tcPr/>
          <w:p>
            <w:pPr>
              <w:pStyle w:val="Compact"/>
            </w:pPr>
            <w:r>
              <w:t xml:space="preserve">1.100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R$ 200/MWh</w:t>
            </w:r>
          </w:p>
        </w:tc>
        <w:tc>
          <w:tcPr/>
          <w:p>
            <w:pPr>
              <w:pStyle w:val="Compact"/>
            </w:pPr>
            <w:r>
              <w:t xml:space="preserve">1.075 (60 MW)</w:t>
            </w:r>
          </w:p>
        </w:tc>
        <w:tc>
          <w:tcPr/>
          <w:p>
            <w:pPr>
              <w:pStyle w:val="Compact"/>
            </w:pPr>
            <w:r>
              <w:t xml:space="preserve">1.245 (60 MW)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hipóteses relativas ao hidrogênio, que determinam a quantidade a ofertar com um BESS disponível (Seção 4.3), praticamente não alteram o lance mínimo: nos casos de contrato, de importação e de tamanho do eletrolisador, ele varia entre R$ 815 mil e R$ 855 mil/(MW·ano) à taxa de 8%, uma variação inferior a 5%. O único efeito perceptível ocorre com o contrato de 3 t/dia, em que o BESS também reduz o déficit de entrega e, por isso, o lance cai R$ 40 mil/(MW·ano). Isso ocorre porque, no lance mínimo, quase toda a bateria é destinada ao leilão, e o uso mercantil — o canal pelo qual o hidrogênio afeta a decisão — tem pouco peso.</w:t>
      </w:r>
    </w:p>
    <w:p>
      <w:pPr>
        <w:pStyle w:val="BodyText"/>
      </w:pPr>
      <w:r>
        <w:t xml:space="preserve">Por outro lado, o custo de degradação e a frequência do despacho deslocam o lance mínimo quase exatamente pelo custo de degradação do módulo LRCAP,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(Equação (3.43)): de R$ 855 mil para R$ 930 mil e R$ 1,08 milhão com degradação de R$ 100 e R$ 200/MWh (acréscimos de R$ 75 mil e R$ 220 mil, contra R$ 73 mil e R$ 219 mil previstos), e para R$ 790 mil com 50 despachos por ano (redução de R$ 65 mil, contra R$ 63 mil prevista). Esses resultados confirmam a aproximação da Equação (3.44): o lance mínimo de um BESS a construir corresponde ao custo anual equivalente do BESS por MW acrescido do custo de degradação imposto pelo despacho do ONS, com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nos casos avaliados. Com os valores avaliados, o lance mínimo situa-se entre R$ 780 mil e R$ 1,25 milhão/(MW·ano), e sua incerteza decorre principalmente do custo de investimento, da taxa de desconto e da degradação da bateria.</w:t>
      </w:r>
    </w:p>
    <w:bookmarkEnd w:id="21"/>
    <w:bookmarkEnd w:id="22"/>
    <w:bookmarkStart w:id="51" w:name="Xcde85c54f79c458b3aea976799b86356d7ba359"/>
    <w:p>
      <w:pPr>
        <w:pStyle w:val="Heading2"/>
      </w:pPr>
      <w:r>
        <w:t xml:space="preserve">4.3 BESS disponível: quantidade a contratar e operação</w:t>
      </w:r>
    </w:p>
    <w:p>
      <w:pPr>
        <w:pStyle w:val="FirstParagraph"/>
      </w:pPr>
      <w:r>
        <w:t xml:space="preserve">Esta seção supõe que o BESS está disponível — porque já existe ou porque foi construído com receita fixa acima do lance mínimo — e analisa quanto de sua potência contratar no leilão e como o sistema opera. Os resultados utilizam a receita fixa de referência de R$ 600 mil/(MW·ano), inferior ao lance mínimo da Seção 4.2, mas a curva de oferta fornece a decisão para qualquer receita; acima do lance mínimo, ela indica a oferta de 57,5 a 60 MW. A análise identifica os mecanismos que determinam o custo de oportunidade da contratação e a sensibilidade da decisão às hipóteses de operação e de mercado.</w:t>
      </w:r>
    </w:p>
    <w:bookmarkStart w:id="26" w:name="X56b8d8d6087674c35fe11f865ddd535a2471b8b"/>
    <w:p>
      <w:pPr>
        <w:pStyle w:val="Heading3"/>
      </w:pPr>
      <w:r>
        <w:t xml:space="preserve">4.3.1 Decisão de contratação no modelo estocástico</w:t>
      </w:r>
    </w:p>
    <w:p>
      <w:pPr>
        <w:pStyle w:val="FirstParagraph"/>
      </w:pPr>
      <w:r>
        <w:t xml:space="preserve">A Figura 4.4(a)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4.4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as/estocastico_unifei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ótimo, assinalado na Figura 4.4,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esperado de R$ 68,12 milhões por ano, obtido com tolerância de convergência de 0,01%. Com a tolerância de 0,1% usada inicialmente, o algoritmo de Benders havia encerrado em 53,4 MW, com lucro esperado apenas R$ 20 mil inferior.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subseções seguintes.</w:t>
      </w:r>
    </w:p>
    <w:p>
      <w:pPr>
        <w:pStyle w:val="BodyText"/>
      </w:pPr>
      <w:r>
        <w:t xml:space="preserve">O lucro por cenário na potência ótima é apresentado na Tabela 4.5.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4.5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retorno,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CVaR, degenerou em um único ponto: a mesma potência maximiza o lucro esperado e o lucro do pior ano,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inferior a 0,07% em todos os casos. Não há, portanto, troca entre risco e retorno nesta configuração, pois a dispersão entre os cenários pouco depende da decisão de contratação, como se observa na Figura 4.4(b): as barras de cada decisão se deslocam praticamente em paralelo entre os anos.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Subseção 4.3.4: com o hidrogênio vendido sem limite de volume a R$ 35/kg, cada MWh destinado ao eletrolisador vale cerca de R$ 609, e o MCP tem papel secundário na operação.</w:t>
      </w:r>
    </w:p>
    <w:bookmarkEnd w:id="26"/>
    <w:bookmarkStart w:id="27" w:name="X803239abd151ab68ada138485f7ac164ea0f3ed"/>
    <w:p>
      <w:pPr>
        <w:pStyle w:val="Heading3"/>
      </w:pPr>
      <w:r>
        <w:t xml:space="preserve">4.3.2 Valor da solução estocástica e valor esperado da informação perfeita</w:t>
      </w:r>
    </w:p>
    <w:p>
      <w:pPr>
        <w:pStyle w:val="FirstParagraph"/>
      </w:pPr>
      <w:r>
        <w:t xml:space="preserve">A Tabela 4.6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4.6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subseções seguintes mostram que outras hipóteses, não representadas nos cenários, têm efeito muito maior.</w:t>
      </w:r>
    </w:p>
    <w:bookmarkEnd w:id="27"/>
    <w:bookmarkStart w:id="31" w:name="curva-de-oferta"/>
    <w:p>
      <w:pPr>
        <w:pStyle w:val="Heading3"/>
      </w:pPr>
      <w:r>
        <w:t xml:space="preserve">4.3.3 Curva de oferta</w:t>
      </w:r>
    </w:p>
    <w:p>
      <w:pPr>
        <w:pStyle w:val="FirstParagraph"/>
      </w:pPr>
      <w:r>
        <w:t xml:space="preserve">A Figura 4.5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4.5(b)). A receita mínima de entrada é de R$ 76 mil/(MW·ano) e a receita necessária para ofertar toda a potência do BESS é de R$ 895 mil/(MW·ano).</w:t>
      </w:r>
    </w:p>
    <w:p>
      <w:pPr>
        <w:pStyle w:val="Legenda"/>
      </w:pPr>
      <w:r>
        <w:t xml:space="preserve">Figura 4.5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as/curva_oferta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4.5(c)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em todos os casos avaliados (R$ 76 mil a R$ 96 mil/(MW·ano)), muito inferior a qualquer receita fixa plausível para sistemas de armazenamento. Por outro lado, a quantidade a ofertar acima de cerca de 40 MW é sensível tanto ao preço quanto às hipóteses sobre o hidrogênio, como mostra a subseção seguinte.</w:t>
      </w:r>
    </w:p>
    <w:bookmarkEnd w:id="31"/>
    <w:bookmarkStart w:id="32" w:name="Xecdbf8e9b0c8cf7cf478028b36aa5fe92ae5811"/>
    <w:p>
      <w:pPr>
        <w:pStyle w:val="Heading3"/>
      </w:pPr>
      <w:r>
        <w:t xml:space="preserve">4.3.4 Contrato de hidrogênio e importação de energia</w:t>
      </w:r>
    </w:p>
    <w:p>
      <w:pPr>
        <w:pStyle w:val="FirstParagraph"/>
      </w:pPr>
      <w:r>
        <w:t xml:space="preserve">A Tabela 4.7 resume, para a receita fixa de referência, a potência ótima, o lucro e a operação média de cada caso.</w:t>
      </w:r>
    </w:p>
    <w:p>
      <w:pPr>
        <w:pStyle w:val="Legenda"/>
      </w:pPr>
      <w:r>
        <w:t xml:space="preserve">Tabela 4.7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61,3</w:t>
            </w:r>
          </w:p>
        </w:tc>
        <w:tc>
          <w:tcPr/>
          <w:p>
            <w:pPr>
              <w:pStyle w:val="Compact"/>
            </w:pPr>
            <w:r>
              <w:t xml:space="preserve">64,3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3,2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25,1</w:t>
            </w:r>
          </w:p>
        </w:tc>
        <w:tc>
          <w:tcPr/>
          <w:p>
            <w:pPr>
              <w:pStyle w:val="Compact"/>
            </w:pPr>
            <w:r>
              <w:t xml:space="preserve">36,2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37,4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719</w:t>
            </w:r>
          </w:p>
        </w:tc>
        <w:tc>
          <w:tcPr/>
          <w:p>
            <w:pPr>
              <w:pStyle w:val="Compact"/>
            </w:pPr>
            <w:r>
              <w:t xml:space="preserve">1.035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  <w:tc>
          <w:tcPr/>
          <w:p>
            <w:pPr>
              <w:pStyle w:val="Compact"/>
            </w:pPr>
            <w:r>
              <w:t xml:space="preserve">61,0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228</w:t>
            </w:r>
          </w:p>
        </w:tc>
        <w:tc>
          <w:tcPr/>
          <w:p>
            <w:pPr>
              <w:pStyle w:val="Compact"/>
            </w:pPr>
            <w:r>
              <w:t xml:space="preserve">1.753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367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37,4 GWh). O módulo mercantil perde a função de abastecer o eletrolisador à noite, e seu valor passa a ser o da arbitragem de preços no MCP, muito inferior. O custo de oportunidade do último MW cai de R$ 895 mil para R$ 228 mil/(MW·ano), e o ótimo passa a ser contratar toda a potência. O lucro diminui R$ 6,8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61 t por ano (5,6% do volume contratado), concentrado nos períodos de menor irradiância, e a multa correspondente, de R$ 2,1 milhões por ano, explica a maior parte da redução do lucro. A curva de custo de oportunidade torna-se ainda mais íngreme no extremo superior: o último MW custa R$ 1,75 milhão/(MW·ano), pois sua contratação aumentaria o déficit. A potência ótima permanece em 55 MW.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8,9 GWh por ano, usados para eliminar o déficit de entrega, e o lucro supera o do caso de referência em apenas R$ 0,7 milhão por ano.</w:t>
      </w:r>
    </w:p>
    <w:p>
      <w:pPr>
        <w:pStyle w:val="BodyText"/>
      </w:pPr>
      <w:r>
        <w:t xml:space="preserve">Esses resultados indicam que a arbitragem entre o LRCAP e o MCP, que dá título a este trabalho,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32"/>
    <w:bookmarkStart w:id="36" w:name="frequência-do-despacho-do-ons"/>
    <w:p>
      <w:pPr>
        <w:pStyle w:val="Heading3"/>
      </w:pPr>
      <w:r>
        <w:t xml:space="preserve">4.3.5 Frequência do despacho do ONS</w:t>
      </w:r>
    </w:p>
    <w:p>
      <w:pPr>
        <w:pStyle w:val="FirstParagraph"/>
      </w:pPr>
      <w:r>
        <w:t xml:space="preserve">A Figura 4.6 e a Tabela 4.8 apresentam a curva de oferta do caso de referência para 50, 150 e 365 despachos por ano.</w:t>
      </w:r>
    </w:p>
    <w:p>
      <w:pPr>
        <w:pStyle w:val="Legenda"/>
      </w:pPr>
      <w:r>
        <w:t xml:space="preserve">Figura 4.6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as/curva_oferta_ciclo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4.8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4.6(b)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(3.43).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bookmarkEnd w:id="36"/>
    <w:bookmarkStart w:id="43" w:name="custo-de-degradação-e-dimensionamento"/>
    <w:p>
      <w:pPr>
        <w:pStyle w:val="Heading3"/>
      </w:pPr>
      <w:r>
        <w:t xml:space="preserve">4.3.6 Custo de degradação e dimensionamento</w:t>
      </w:r>
    </w:p>
    <w:p>
      <w:pPr>
        <w:pStyle w:val="FirstParagraph"/>
      </w:pPr>
      <w:r>
        <w:t xml:space="preserve">Esta subseção avalia duas hipóteses que poderiam alterar as conclusões anteriores: o custo de degradação do BESS e o dimensionamento do eletrolisador e do tanque de hidrogênio.</w:t>
      </w:r>
    </w:p>
    <w:p>
      <w:pPr>
        <w:pStyle w:val="BodyText"/>
      </w:pPr>
      <w:r>
        <w:rPr>
          <w:b/>
          <w:bCs/>
        </w:rPr>
        <w:t xml:space="preserve">Custo de degradação.</w:t>
      </w:r>
      <w:r>
        <w:t xml:space="preserve"> </w:t>
      </w:r>
      <w:r>
        <w:t xml:space="preserve">A Figura 4.7 e a Tabela 4.9 apresentam a curva de oferta para custos de degradação de R$ 50, R$ 100 e R$ 200/MWh, os dois últimos próximos da faixa estimada a partir do custo de reposição dos módulos (Seção 3.5).</w:t>
      </w:r>
    </w:p>
    <w:p>
      <w:pPr>
        <w:pStyle w:val="Legenda"/>
      </w:pPr>
      <w:r>
        <w:t xml:space="preserve">Figura 4.7 – Curva de oferta no LRCAP para diferentes custos de degradação do BESS: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as/curva_oferta_degradacao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4.9 – Efeito do custo de degradação do BESS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 de degradação (R$/MWh)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63,7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854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Quadruplicar o custo de degradação reduz o lucro em R$ 13,2 milhões por ano e quase quadruplica a receita mínima de entrada, mas desloca a potência ótima em apenas 2,5 MW. A razão está na Figura 4.7(b): o custo maior eleva o custo de oportunidade na faixa inferior da curva, onde predomina o desgaste do módulo LRCAP, despachado diariamente; na faixa superior, porém, também torna mais caro o uso mercantil da bateria, que é justamente o uso perdido ao se contratar mais potência, e os dois efeitos praticamente se compensam. A decisão de quanto ofertar é, portanto, robusta ao custo de degradação, enquanto a decisão de participar e o lucro esperado são sensíveis a ele.</w:t>
      </w:r>
    </w:p>
    <w:p>
      <w:pPr>
        <w:pStyle w:val="BodyText"/>
      </w:pPr>
      <w:r>
        <w:rPr>
          <w:b/>
          <w:bCs/>
        </w:rPr>
        <w:t xml:space="preserve">Tamanho do eletrolisador.</w:t>
      </w:r>
      <w:r>
        <w:t xml:space="preserve"> </w:t>
      </w:r>
      <w:r>
        <w:t xml:space="preserve">A Figura 4.8 e a Tabela 4.10 comparam eletrolisadores de 10, 17,5 e 25 MW, mantida a usina FV de 50 MWp.</w:t>
      </w:r>
    </w:p>
    <w:p>
      <w:pPr>
        <w:pStyle w:val="Legenda"/>
      </w:pPr>
      <w:r>
        <w:t xml:space="preserve">Figura 4.8 – Curva de oferta no LRCAP para diferentes potências do eletrolisador: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as/curva_oferta_eletrolisador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4.10 – Efeito da potência do eletrolisador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Eletrolisador (MW)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850</w:t>
            </w:r>
          </w:p>
        </w:tc>
        <w:tc>
          <w:tcPr/>
          <w:p>
            <w:pPr>
              <w:pStyle w:val="Compact"/>
            </w:pPr>
            <w:r>
              <w:t xml:space="preserve">0,53</w:t>
            </w:r>
          </w:p>
        </w:tc>
        <w:tc>
          <w:tcPr/>
          <w:p>
            <w:pPr>
              <w:pStyle w:val="Compact"/>
            </w:pPr>
            <w:r>
              <w:t xml:space="preserve">28,4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17,5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tamanho do eletrolisador altera a forma da curva de oferta. Com 25 MW, o eletrolisador absorve durante o dia a maior parte da geração FV, e o módulo mercantil tem pouco a deslocar para a noite: o custo de oportunidade permanece em torno de R$ 77 mil/(MW·ano) até 45 MW, e o ótimo para a receita de referência sobe para 57,5 MW. Com 10 MW, a geração FV excedente ao meio-dia é muito maior, a bateria mercantil é valiosa desde o mínimo regulatório e o custo de oportunidade já parte de R$ 330 mil/(MW·ano); o ótimo cai para 50 MW. A relação entre as potências do eletrolisador e da usina FV, herdada da planta da UNIFEI (0,35), é, portanto, uma hipótese de projeto com efeito relevante sobre a curva de oferta, e não apenas um parâmetro de escala.</w:t>
      </w:r>
    </w:p>
    <w:p>
      <w:pPr>
        <w:pStyle w:val="BodyText"/>
      </w:pPr>
      <w:r>
        <w:rPr>
          <w:b/>
          <w:bCs/>
        </w:rPr>
        <w:t xml:space="preserve">Tamanho do tanque.</w:t>
      </w:r>
      <w:r>
        <w:t xml:space="preserve"> </w:t>
      </w:r>
      <w:r>
        <w:t xml:space="preserve">No caso com contrato de 3 t/dia, a ampliação do tanque de hidrogênio de 2 t para 10 t não alterou o resultado: o déficit anual de entrega permaneceu em 61 t e a curva de oferta foi idêntica. O déficit decorre da capacidade de produção, e não da armazenagem: a entrega de 3 t/dia exige cerca de 9,4 h diárias de operação na potência nominal, o que não é alcançado nos dias de baixa irradiância, mesmo com o tanque capaz de acumular a produção de dias anteriores.</w:t>
      </w:r>
    </w:p>
    <w:bookmarkEnd w:id="43"/>
    <w:bookmarkStart w:id="50" w:name="X5d7116e36aa75b714ebe85263b9b5917fb83cc3"/>
    <w:p>
      <w:pPr>
        <w:pStyle w:val="Heading3"/>
      </w:pPr>
      <w:r>
        <w:t xml:space="preserve">4.3.7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Os valores de receita fixa foram escolhidos a partir das quatro referências discutidas na Seção 3.5, sintetizadas no Quadro 4.1.</w:t>
      </w:r>
    </w:p>
    <w:p>
      <w:pPr>
        <w:pStyle w:val="Legenda"/>
      </w:pPr>
      <w:r>
        <w:t xml:space="preserve">Quadro 4.1 – Referências para a faixa de receita fixa avaliada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Receita fixa (R$/MW·ano)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330 mil</w:t>
            </w:r>
          </w:p>
        </w:tc>
        <w:tc>
          <w:tcPr/>
          <w:p>
            <w:pPr>
              <w:pStyle w:val="Compact"/>
            </w:pPr>
            <w:r>
              <w:t xml:space="preserve">Primeiro leilão do MACSE, Itália, 30/09/2025: preço médio de € 12.959/(MWh·ano) para sistemas de baterias de íons de lítio, contratos de 15 anos (TERNA, 2025)</w:t>
            </w:r>
          </w:p>
        </w:tc>
        <w:tc>
          <w:tcPr/>
          <w:p>
            <w:pPr>
              <w:pStyle w:val="Compact"/>
            </w:pPr>
            <w:r>
              <w:t xml:space="preserve">Convertido para um sistema de 4 h (€ 51.836/(MW·ano)) com a PTAX de 30/09/2025 (R$ 6,2396/€), o que resulta em R$ 323 mil; arredondado na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830 mil</w:t>
            </w:r>
          </w:p>
        </w:tc>
        <w:tc>
          <w:tcPr/>
          <w:p>
            <w:pPr>
              <w:pStyle w:val="Compact"/>
            </w:pPr>
            <w:r>
              <w:t xml:space="preserve">Leilão nº 3/2026-ANEEL (LRCAP), 20/03/2026: 501,3 MW de termelétricas existentes a óleo e biodiesel, preço médio de R$ 831.251,52/(MW·ano), deságio de 50,1% (CCEE, 2026c)</w:t>
            </w:r>
          </w:p>
        </w:tc>
        <w:tc>
          <w:tcPr/>
          <w:p>
            <w:pPr>
              <w:pStyle w:val="Compact"/>
            </w:pPr>
            <w:r>
              <w:t xml:space="preserve">Usinas existentes, sem investimento novo: piso de referência para o produto potência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 e 1,5 mi</w:t>
            </w:r>
          </w:p>
        </w:tc>
        <w:tc>
          <w:tcPr/>
          <w:p>
            <w:pPr>
              <w:pStyle w:val="Compact"/>
            </w:pPr>
            <w:r>
              <w:t xml:space="preserve">CAPEX de referência de sistemas de baterias de R$ 5.000 a 6.000/kW (BRASIL; EPE, 2025)</w:t>
            </w:r>
          </w:p>
        </w:tc>
        <w:tc>
          <w:tcPr/>
          <w:p>
            <w:pPr>
              <w:pStyle w:val="Compact"/>
            </w:pPr>
            <w:r>
              <w:t xml:space="preserve">A anualização do CAPEX a 10% a.a. em 15 anos resulta em R$ 657 mil a R$ 789 mil/(MW·ano); os valores da grade acrescentam O&amp;M, encargos, tributos e reposição de módulos para manter a disponibilidade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2,33 mi</w:t>
            </w:r>
          </w:p>
        </w:tc>
        <w:tc>
          <w:tcPr/>
          <w:p>
            <w:pPr>
              <w:pStyle w:val="Compact"/>
            </w:pPr>
            <w:r>
              <w:t xml:space="preserve">Leilão nº 2/2026-ANEEL (LRCAP), 18/03/2026: 18,97 GW de termelétricas a gás natural, biometano e carvão e ampliações de hidrelétricas, novas e existentes, preço médio de R$ 2,334 milhões/(MW·ano), deságio de 5,5% (CCEE, 2026b)</w:t>
            </w:r>
          </w:p>
        </w:tc>
        <w:tc>
          <w:tcPr/>
          <w:p>
            <w:pPr>
              <w:pStyle w:val="Compact"/>
            </w:pPr>
            <w:r>
              <w:t xml:space="preserve">Custo de atender à mesma necessidade de potência com a expansão térmica e hidrelétrica: teto de referência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valor de R$ 600 mil/(MW·ano), adotado no caso de referência, situa-se, portanto, abaixo do preço obtido por usinas existentes no LRCAP de 2026 e abaixo do custo anualizado de investimento em baterias, e deve ser interpretado como hipótese conservadora para a receita fixa.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4.9.</w:t>
      </w:r>
    </w:p>
    <w:p>
      <w:pPr>
        <w:pStyle w:val="Legenda"/>
      </w:pPr>
      <w:r>
        <w:t xml:space="preserve">Figura 4.9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4.10).</w:t>
      </w:r>
    </w:p>
    <w:p>
      <w:pPr>
        <w:pStyle w:val="Legenda"/>
      </w:pPr>
      <w:r>
        <w:t xml:space="preserve">Figura 4.10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Os resultados das Figuras 4.5 e 4.6 são coerentes com a curva de oferta da Subseção 4.3.3,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50"/>
    <w:bookmarkEnd w:id="51"/>
    <w:bookmarkStart w:id="52" w:name="síntese"/>
    <w:p>
      <w:pPr>
        <w:pStyle w:val="Heading2"/>
      </w:pPr>
      <w:r>
        <w:t xml:space="preserve">4.4 Síntese</w:t>
      </w:r>
    </w:p>
    <w:p>
      <w:pPr>
        <w:pStyle w:val="FirstParagraph"/>
      </w:pPr>
      <w:r>
        <w:t xml:space="preserve">Os resultados permitem distinguir duas decisões e hierarquizar os fatores que determinam cada uma.</w:t>
      </w:r>
    </w:p>
    <w:p>
      <w:pPr>
        <w:pStyle w:val="BodyText"/>
      </w:pPr>
      <w:r>
        <w:rPr>
          <w:b/>
          <w:bCs/>
        </w:rPr>
        <w:t xml:space="preserve">Proponente que precisa construir o BESS (resultado principal):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oferta é do tipo</w:t>
      </w:r>
      <w:r>
        <w:rPr>
          <w:b/>
          <w:bCs/>
        </w:rPr>
        <w:t xml:space="preserve"> </w:t>
      </w:r>
      <w:r>
        <w:rPr>
          <w:b/>
          <w:bCs/>
        </w:rPr>
        <w:t xml:space="preserve">“tudo ou nada”</w:t>
      </w:r>
      <w:r>
        <w:rPr>
          <w:b/>
          <w:bCs/>
        </w:rPr>
        <w:t xml:space="preserve">:</w:t>
      </w:r>
      <w:r>
        <w:t xml:space="preserve"> </w:t>
      </w:r>
      <w:r>
        <w:t xml:space="preserve">abaixo do lance mínimo, o BESS não é construído; acima dele, ofertam-se 57,5 a 60 MW, praticamente toda a potência da bateria;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lance mínimo é de cerca de R$ 855 mil/(MW·ano) no caso central</w:t>
      </w:r>
      <w:r>
        <w:t xml:space="preserve"> </w:t>
      </w:r>
      <w:r>
        <w:t xml:space="preserve">e varia de R$ 780 mil a R$ 1,25 milhão/(MW·ano) conforme o custo de investimento, a taxa de desconto e a degradação; ele é bem aproximado pelo custo anual equivalente do BESS por MW acrescido do custo de degradação imposto pelo despacho do ONS (Equação (3.44)) e é próximo do preço obtido por termelétricas existentes no LRCAP de 2026;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hipóteses sobre o hidrogênio quase não afetam o lance mínimo</w:t>
      </w:r>
      <w:r>
        <w:t xml:space="preserve"> </w:t>
      </w:r>
      <w:r>
        <w:t xml:space="preserve">(variação inferior a 5%), mas determinam a viabilidade do empreendimento como um todo: com os parâmetros adotados, nenhum caso se paga com investimento central, e o preço de equilíbrio do hidrogênio no caso de referência é de cerca de R$ 68/kg;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sem a receita do leilão, o BESS agrega pouco</w:t>
      </w:r>
      <w:r>
        <w:t xml:space="preserve"> </w:t>
      </w:r>
      <w:r>
        <w:t xml:space="preserve">(R$ 9,7 milhões por ano, contra custo anual equivalente de R$ 46,8 milhões): é o LRCAP que pode viabilizar a bateria, e a receita de referência de R$ 600 mil/(MW·ano) é insuficiente para isso.</w:t>
      </w:r>
    </w:p>
    <w:p>
      <w:pPr>
        <w:pStyle w:val="FirstParagraph"/>
      </w:pPr>
      <w:r>
        <w:rPr>
          <w:b/>
          <w:bCs/>
        </w:rPr>
        <w:t xml:space="preserve">Proponente que dispõe do BESS: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até cerca de 37,5 MW, o custo de oportunidade marginal situa-se entre R$ 77 mil e R$ 111 mil/(MW·ano) nos casos de contrato de hidrogênio e de importação, e a receita mínima de entrada permanece abaixo de R$ 300 mil/(MW·ano) em todos os casos;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quantidade a ofertar acima de cerca de 40 MW depende do hidrogênio e do dimensionamento:</w:t>
      </w:r>
      <w:r>
        <w:t xml:space="preserve"> </w:t>
      </w:r>
      <w:r>
        <w:t xml:space="preserve">o custo de oportunidade do último MW varia de R$ 228 mil a R$ 1,75 milhão/(MW·ano) conforme o contrato de fornecimento, e a potência ótima varia de 50 a 57,5 MW com o tamanho do eletrolisador, porque o módulo mercantil do BESS tem como principal função abastecer o eletrolisador fora do período solar;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 custo de degradação e a frequência do despacho afetam o lucro e o limiar de entrada, mas pouco a potência ótima</w:t>
      </w:r>
      <w:r>
        <w:t xml:space="preserve">, e a receita fixa e o preço do hidrogênio definem a fronteira entre contratar parte ou toda a potência, com arrependimento assimétrico que favorece contratar mais.</w:t>
      </w:r>
    </w:p>
    <w:p>
      <w:pPr>
        <w:pStyle w:val="FirstParagraph"/>
      </w:pPr>
      <w:r>
        <w:rPr>
          <w:b/>
          <w:bCs/>
        </w:rPr>
        <w:t xml:space="preserve">Método e incertezas: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variação histórica de preço e de geração e a aproximação da decomposição têm efeito pequeno sobre a decisão:</w:t>
      </w:r>
      <w:r>
        <w:t xml:space="preserve"> </w:t>
      </w:r>
      <w:r>
        <w:t xml:space="preserve">os modelos determinístico e estocástico conduzem à mesma potência ótima, o VSS é nulo, o EVPI é de 0,2% do lucro esperado, e as condições cíclicas semanais não restringem a operação de forma mensurável.</w:t>
      </w:r>
    </w:p>
    <w:p>
      <w:pPr>
        <w:pStyle w:val="FirstParagraph"/>
      </w:pPr>
      <w:r>
        <w:t xml:space="preserve">Em conjunto, os resultados indicam que, para um BESS novo, a arbitragem relevante não se dá entre o LRCAP e o mercado de curto prazo na operação, mas na decisão de investimento: a bateria é construída para o leilão, e o lance é determinado pelo seu custo. A produção de hidrogênio, por sua vez, define se o empreendimento híbrido como um todo é viável, e as condições de sua comercialização — preço, volume e critério de qualificação — são as informações prioritárias para essa avaliação.</w:t>
      </w:r>
    </w:p>
    <w:bookmarkEnd w:id="52"/>
    <w:bookmarkStart w:id="53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bookmarkEnd w:id="53"/>
    <w:bookmarkEnd w:id="54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521">
    <w:nsid w:val="00A99521"/>
    <w:multiLevelType w:val="multilevel"/>
    <w:lvl w:ilvl="0">
      <w:start w:val="1"/>
      <w:numFmt w:val="lowerRoman"/>
      <w:lvlText w:val="%1)"/>
      <w:lvlJc w:val="left"/>
      <w:pPr>
        <w:ind w:left="720" w:hanging="360"/>
      </w:pPr>
    </w:lvl>
    <w:lvl w:ilvl="1">
      <w:start w:val="1"/>
      <w:numFmt w:val="lowerRoman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lowerRoman"/>
      <w:lvlText w:val="%4)"/>
      <w:lvlJc w:val="left"/>
      <w:pPr>
        <w:ind w:left="2880" w:hanging="360"/>
      </w:pPr>
    </w:lvl>
    <w:lvl w:ilvl="4">
      <w:start w:val="1"/>
      <w:numFmt w:val="lowerRoman"/>
      <w:lvlText w:val="%5)"/>
      <w:lvlJc w:val="left"/>
      <w:pPr>
        <w:ind w:left="3600" w:hanging="360"/>
      </w:pPr>
    </w:lvl>
    <w:lvl w:ilvl="5">
      <w:start w:val="1"/>
      <w:numFmt w:val="lowerRoman"/>
      <w:lvlText w:val="%6)"/>
      <w:lvlJc w:val="left"/>
      <w:pPr>
        <w:ind w:left="4320" w:hanging="360"/>
      </w:pPr>
    </w:lvl>
    <w:lvl w:ilvl="6">
      <w:start w:val="1"/>
      <w:numFmt w:val="lowerRoman"/>
      <w:lvlText w:val="%7)"/>
      <w:lvlJc w:val="left"/>
      <w:pPr>
        <w:ind w:left="5040" w:hanging="360"/>
      </w:pPr>
    </w:lvl>
    <w:lvl w:ilvl="7">
      <w:start w:val="1"/>
      <w:numFmt w:val="lowerRoman"/>
      <w:lvlText w:val="%8)"/>
      <w:lvlJc w:val="left"/>
      <w:pPr>
        <w:ind w:left="5760" w:hanging="360"/>
      </w:pPr>
    </w:lvl>
    <w:lvl w:ilvl="8">
      <w:start w:val="1"/>
      <w:numFmt w:val="low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5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17" Target="media/rId17.png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44" Target="media/rId44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2026-10-04T21:11:42Z</dcterms:created>
  <dcterms:modified xsi:type="dcterms:W3CDTF">2026-10-04T21:11:42Z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