
<file path=[Content_Types].xml><?xml version="1.0" encoding="utf-8"?>
<Types xmlns="http://schemas.openxmlformats.org/package/2006/content-types">
  <Default Extension="png" ContentType="image/png"/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32.png" ContentType="image/png"/>
  <Override PartName="/word/media/rId41.png" ContentType="image/png"/>
  <Override PartName="/word/media/rId45.png" ContentType="image/png"/>
  <Override PartName="/word/media/rId48.png" ContentType="image/png"/>
  <Override PartName="/word/media/rId37.png" ContentType="image/png"/>
  <Override PartName="/word/media/rId17.png" ContentType="image/png"/>
  <Override PartName="/word/media/rId27.png" ContentType="image/png"/>
  <Override PartName="/word/media/rId21.png" ContentType="image/png"/>
  <Override PartName="/word/media/rId55.png" ContentType="image/png"/>
  <Override PartName="/word/media/rId52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2" w:name="resultados-e-discussão"/>
    <w:p>
      <w:pPr>
        <w:pStyle w:val="Heading1"/>
      </w:pPr>
      <w:r>
        <w:t xml:space="preserve">4 RESULTADOS E DISCUSSÃO</w:t>
      </w:r>
    </w:p>
    <w:p>
      <w:pPr>
        <w:pStyle w:val="FirstParagraph"/>
      </w:pPr>
      <w:r>
        <w:t xml:space="preserve">Este capítulo apresenta os resultados do modelo descrito no Capítulo 3, aplicado ao caso de referência: a planta da UNIFEI escalonada para 50 MWp de geração FV e 17,5 MW de eletrolisador PEM, com BESS de 60 MW e 300 MWh, conectada ao submercado SE/CO. A Seção 4.1 avalia o desempenho do método de solução no caso determinístico de 2025. A Seção 4.2 apresenta o resultado principal, a decisão de um proponente que precisa construir o BESS: a viabilidade do empreendimento e o lance mínimo no leilão. A Seção 4.3 analisa a decisão de quanto contratar quando o BESS está disponível e os fatores que a determinam. A Seção 4.4 sintetiza os resultados. Salvo indicação em contrário, os resultados correspondem ao lucro esperado nos cinco cenários anuais de 2021 a 2025 (Seção 3.7.2), em valores de dezembro de 2025; a Seção 4.1 e a Subseção 4.3.8 utilizam o caso determinístico de 2025 (Seção 3.5).</w:t>
      </w:r>
    </w:p>
    <w:p>
      <w:pPr>
        <w:pStyle w:val="BodyText"/>
      </w:pPr>
      <w:r>
        <w:t xml:space="preserve">Ressalta-se que parte dos parâmetros econômicos — em especial a receita fixa do LRCAP (R$ 600 mil/(MW·ano)), o preço do hidrogênio (R$ 35/kg), o custo de degradação do BESS (R$ 50/MWh), a multa contratual por déficit de hidrogênio e o custo de O&amp;M fixo da usina FV e do eletrolisador — tem caráter provisório, conforme discutido nas Seções 3.5 e 3.8.2. Por isso, a ênfase deste capítulo recai sobre as relações entre as decisões e as hipóteses, e não sobre os valores absolutos de lucro.</w:t>
      </w:r>
    </w:p>
    <w:bookmarkStart w:id="12" w:name="desempenho-do-método-de-solução"/>
    <w:p>
      <w:pPr>
        <w:pStyle w:val="Heading2"/>
      </w:pPr>
      <w:r>
        <w:t xml:space="preserve">4.1 Desempenho do método de solução</w:t>
      </w:r>
    </w:p>
    <w:p>
      <w:pPr>
        <w:pStyle w:val="FirstParagraph"/>
      </w:pPr>
      <w:r>
        <w:t xml:space="preserve">O caso determinístico utiliza o PLD do submercado SE/CO de 2025, a geração FV obtida da base ERA5 e o perfil fixo de despacho do ONS descritos na Seção 3.5, com o ano dividido em 52 blocos semanais. A Figura 4.1 apresenta a convergência do algoritmo de Benders e a aproximação da função valor do primeiro estágio construída pelos cortes.</w:t>
      </w:r>
    </w:p>
    <w:p>
      <w:pPr>
        <w:pStyle w:val="Legenda"/>
      </w:pPr>
      <w:r>
        <w:t xml:space="preserve">Figura 4.1 – Caso determinístico de 2025: (a) limites superior e inferior ao longo das iterações de Benders; (b) aproximação da função valor pelos cortes e pontos avaliados</w:t>
      </w:r>
    </w:p>
    <w:p>
      <w:pPr>
        <w:pStyle w:val="Figura"/>
      </w:pPr>
      <w:r>
        <w:drawing>
          <wp:inline>
            <wp:extent cx="5334000" cy="2000250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figuras/benders_unifei_escalonad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Após a avaliação dos três pontos iniciais (0, 30 e 60 MW), o limite superior parte de R$ 72,7 milhões, e o algoritmo converge em quatro iterações, com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final de 0,06%, em 67 segundos de processamento em quatro núcleos — tempo inferior ao de uma tentativa de solução direta do MILP anual, interrompida após 15 minutos sem solução (Seção 3.6.1); a comparação sistemática com o MILP monolítico é apresentada adiante (Tabela 4.2). A Figura 4.1(b) mostra que a função valor é crescente e aproximadamente linear até cerca de 45 MW e praticamente plana entre 50 e 60 MW, o que explica a convergência rápida: poucos cortes bastam para delimitar a região do ótimo.</w:t>
      </w:r>
    </w:p>
    <w:p>
      <w:pPr>
        <w:pStyle w:val="BodyText"/>
      </w:pPr>
      <w:r>
        <w:t xml:space="preserve">O ótimo encontrado é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=</m:t>
        </m:r>
        <m:r>
          <m:t>54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MW, com lucro de R$ 67,5 milhões no ano. A Tabela 4.1 compara a composição desse resultado com o ótimo do modelo estocástico, apresentado na Subseção 4.3.1.</w:t>
      </w:r>
    </w:p>
    <w:p>
      <w:pPr>
        <w:pStyle w:val="Legenda"/>
      </w:pPr>
      <w:r>
        <w:t xml:space="preserve">Tabela 4.1 – Comparação entre o caso determinístico de 2025 e o modelo estocástico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51"/>
        <w:gridCol w:w="2084"/>
        <w:gridCol w:w="20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Indicador</w:t>
            </w:r>
          </w:p>
        </w:tc>
        <w:tc>
          <w:tcPr/>
          <w:p>
            <w:pPr>
              <w:pStyle w:val="Compact"/>
            </w:pPr>
            <w:r>
              <w:t xml:space="preserve">Determinístico (2025)</w:t>
            </w:r>
          </w:p>
        </w:tc>
        <w:tc>
          <w:tcPr/>
          <w:p>
            <w:pPr>
              <w:pStyle w:val="Compact"/>
            </w:pPr>
            <w:r>
              <w:t xml:space="preserve">Estocástico (2021–2025, média)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Potência ótima no LRCAP (MW)</w:t>
            </w:r>
          </w:p>
        </w:tc>
        <w:tc>
          <w:tcPr/>
          <w:p>
            <w:pPr>
              <w:pStyle w:val="Compact"/>
            </w:pPr>
            <w:r>
              <w:t xml:space="preserve">54,4</w:t>
            </w:r>
          </w:p>
        </w:tc>
        <w:tc>
          <w:tcPr/>
          <w:p>
            <w:pPr>
              <w:pStyle w:val="Compact"/>
            </w:pPr>
            <w:r>
              <w:t xml:space="preserve">54,4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Lucro (R$ milhões/ano)</w:t>
            </w:r>
          </w:p>
        </w:tc>
        <w:tc>
          <w:tcPr/>
          <w:p>
            <w:pPr>
              <w:pStyle w:val="Compact"/>
            </w:pPr>
            <w:r>
              <w:t xml:space="preserve">67,5</w:t>
            </w:r>
          </w:p>
        </w:tc>
        <w:tc>
          <w:tcPr/>
          <w:p>
            <w:pPr>
              <w:pStyle w:val="Compact"/>
            </w:pPr>
            <w:r>
              <w:t xml:space="preserve">68,1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Receita fixa do LRCAP (R$ milhões/ano)</w:t>
            </w:r>
          </w:p>
        </w:tc>
        <w:tc>
          <w:tcPr/>
          <w:p>
            <w:pPr>
              <w:pStyle w:val="Compact"/>
            </w:pPr>
            <w:r>
              <w:t xml:space="preserve">32,7</w:t>
            </w:r>
          </w:p>
        </w:tc>
        <w:tc>
          <w:tcPr/>
          <w:p>
            <w:pPr>
              <w:pStyle w:val="Compact"/>
            </w:pPr>
            <w:r>
              <w:t xml:space="preserve">32,6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Receita de H₂ (R$ milhões/ano)</w:t>
            </w:r>
          </w:p>
        </w:tc>
        <w:tc>
          <w:tcPr/>
          <w:p>
            <w:pPr>
              <w:pStyle w:val="Compact"/>
            </w:pPr>
            <w:r>
              <w:t xml:space="preserve">39,1</w:t>
            </w:r>
          </w:p>
        </w:tc>
        <w:tc>
          <w:tcPr/>
          <w:p>
            <w:pPr>
              <w:pStyle w:val="Compact"/>
            </w:pPr>
            <w:r>
              <w:t xml:space="preserve">36,0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Receita no MCP (R$ milhões/ano)</w:t>
            </w:r>
          </w:p>
        </w:tc>
        <w:tc>
          <w:tcPr/>
          <w:p>
            <w:pPr>
              <w:pStyle w:val="Compact"/>
            </w:pPr>
            <w:r>
              <w:t xml:space="preserve">1,8</w:t>
            </w:r>
          </w:p>
        </w:tc>
        <w:tc>
          <w:tcPr/>
          <w:p>
            <w:pPr>
              <w:pStyle w:val="Compact"/>
            </w:pPr>
            <w:r>
              <w:t xml:space="preserve">5,1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Degradação do BESS (R$ milhões/ano)</w:t>
            </w:r>
          </w:p>
        </w:tc>
        <w:tc>
          <w:tcPr/>
          <w:p>
            <w:pPr>
              <w:pStyle w:val="Compact"/>
            </w:pPr>
            <w:r>
              <w:t xml:space="preserve">4,4</w:t>
            </w:r>
          </w:p>
        </w:tc>
        <w:tc>
          <w:tcPr/>
          <w:p>
            <w:pPr>
              <w:pStyle w:val="Compact"/>
            </w:pPr>
            <w:r>
              <w:t xml:space="preserve">4,4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H₂ produzido (t/ano)</w:t>
            </w:r>
          </w:p>
        </w:tc>
        <w:tc>
          <w:tcPr/>
          <w:p>
            <w:pPr>
              <w:pStyle w:val="Compact"/>
            </w:pPr>
            <w:r>
              <w:t xml:space="preserve">1.117</w:t>
            </w:r>
          </w:p>
        </w:tc>
        <w:tc>
          <w:tcPr/>
          <w:p>
            <w:pPr>
              <w:pStyle w:val="Compact"/>
            </w:pPr>
            <w:r>
              <w:t xml:space="preserve">1.029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Fator de capacidade do eletrolisador</w:t>
            </w:r>
          </w:p>
        </w:tc>
        <w:tc>
          <w:tcPr/>
          <w:p>
            <w:pPr>
              <w:pStyle w:val="Compact"/>
            </w:pPr>
            <w:r>
              <w:t xml:space="preserve">0,40</w:t>
            </w:r>
          </w:p>
        </w:tc>
        <w:tc>
          <w:tcPr/>
          <w:p>
            <w:pPr>
              <w:pStyle w:val="Compact"/>
            </w:pPr>
            <w:r>
              <w:t xml:space="preserve">0,37</w:t>
            </w:r>
          </w:p>
        </w:tc>
      </w:tr>
    </w:tbl>
    <w:p>
      <w:pPr>
        <w:pStyle w:val="Fonte"/>
      </w:pPr>
      <w:r>
        <w:t xml:space="preserve">Fonte: elaborado pelo autor. Valores do modelo estocástico obtidos na grade de 55 MW, exceto potência, lucro e receita fixa.</w:t>
      </w:r>
    </w:p>
    <w:p>
      <w:pPr>
        <w:pStyle w:val="BodyText"/>
      </w:pPr>
      <w:r>
        <w:t xml:space="preserve">As duas abordagens conduzem à mesma potência ótima. A comparação da composição, porém, não isola o efeito de um único fator, pois os dois casos diferem em quatro hipóteses: os anos de preço (2025 contra 2021 a 2025), a base de irradiância (ERA5 de 2023, reposicionada no calendário de 2025, contra SARAH-3), a regra de despacho do ONS (perfil fixo contra perfil baseado no PLD) e o custo de partida do eletrolisador (nulo contra R$ 500 por partida). Embora a série ERA5 apresente fator de capacidade FV ligeiramente inferior ao da média dos cenários SARAH-3 (16,9% contra 17,5%), o caso determinístico produz mais hidrogênio. Duas causas contribuem para isso: no modelo estocástico, os picos de PLD do cenário de 2021, que superam o valor da energia no eletrolisador, tornam a exportação ao MCP mais vantajosa em parte das horas, e o custo de partida desestimula ligamentos curtos do eletrolisador. A coincidência das potências ótimas, apesar dessas diferenças, antecipa o resultado da Subseção 4.3.2: a variação entre anos pouco altera a decisão de contratação.</w:t>
      </w:r>
    </w:p>
    <w:p>
      <w:pPr>
        <w:pStyle w:val="BodyText"/>
      </w:pPr>
      <w:r>
        <w:rPr>
          <w:b/>
          <w:bCs/>
        </w:rPr>
        <w:t xml:space="preserve">Decomposição em blocos.</w:t>
      </w:r>
      <w:r>
        <w:t xml:space="preserve"> </w:t>
      </w:r>
      <w:r>
        <w:t xml:space="preserve">Para a potência de 54,44 MW, o lucro anual do caso determinístico de 2025 foi idêntico com blocos de 7, 14 e 28 dias (diferença relativa inferior a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</m:oMath>
      <w:r>
        <w:t xml:space="preserve">). Refeita a decomposição com blocos de 14 dias, o algoritmo de Benders convergiu para 55,5 MW e R$ 67,53 milhões, contra 54,4 MW e R$ 67,51 milhões com blocos semanais — diferença de 0,03%, inferior à tolerância de convergência e situada na região plana do ótimo. Sem contrato de hidrogênio, as condições cíclicas semanais, portanto, não restringem a operação de forma mensurável, o que é coerente com a operação em ciclos diários do módulo mercantil e do tanque, cujos estados de armazenamento tendem a retornar aos mesmos valores ao fim de cada semana.</w:t>
      </w:r>
    </w:p>
    <w:p>
      <w:pPr>
        <w:pStyle w:val="BodyText"/>
      </w:pPr>
      <w:r>
        <w:t xml:space="preserve">O mesmo não vale quando há contrato de fornecimento de hidrogênio. Com entrega diária firme, guardar energia e hidrogênio de dias ensolarados para dias nublados tem valor, e a condição cíclica semanal — que obriga cada semana a começar com o módulo mercantil em 50% da carga e o tanque vazio — passa a restringir a operação. No contrato de 3 t/dia, o lucro operacional esperado com blocos cíclicos ficou entre 2,3% e 3,8% abaixo do obtido com os estados de fronteira da relaxação linear do ano (Seção 3.6.2), para potências de até 55 MW, e o déficit anual de entrega com 55 MW contratados caiu de 61 t para 40 t. Com o tanque de 10 t, a diferença chegou a 9%, pois a condição cíclica esvaziava o tanque no início de cada semana. Com a fronteira da relaxação, a diferença entre os limites inferior e superior do lucro foi inferior a 0,1% em todos os pontos das curvas de oferta dos casos com contrato até 55 MW, de até 0,33% com 57,5 MW e de até 1,6% com 60 MW. Nesse último ponto, o módulo mercantil fica sem potência e a relaxação linear, que admite o eletrolisador abaixo da carga mínima, é menos justa. Nos casos sem contrato, os dois tratamentos diferem em no máximo 0,05% no lucro esperado. Por isso, as curvas de oferta e as avaliações com potência fixa deste capítulo adotam, para cada caso, potência e cenário, o maior dos dois limites inferiores — com os estados de fronteira da relaxação ou com a condição cíclica semanal —, pois ambos correspondem a operações viáveis do ano; o limite superior é o da relaxação. Nos casos sem contrato, a condição cíclica fica até 0,05% acima; nos casos com contrato, a relaxação fica de 2% a 4% acima. Nessas avaliações, a recarga do módulo LRCAP acima da custeada pela CONCAP é apurada no ano inteiro, e não por bloco: com 50 ou 150 despachos por ano, a apuração por bloco cobraria como excedente a recarga de um despacho realizado no fim de uma semana, que cai no bloco seguinte, sem a injeção correspondente, o que reduziria o lucro em R$ 3 mil a R$ 4 mil/(MW·ano). Com essas duas regras, a diferença entre os limites inferior e superior fica abaixo de 0,1% até 55 MW nos casos sem contrato, exceto com o eletrolisador de 25 MW (0,19%).</w:t>
      </w:r>
    </w:p>
    <w:p>
      <w:pPr>
        <w:pStyle w:val="BodyText"/>
      </w:pPr>
      <w:r>
        <w:rPr>
          <w:b/>
          <w:bCs/>
        </w:rPr>
        <w:t xml:space="preserve">Comparação com o MILP monolítico.</w:t>
      </w:r>
      <w:r>
        <w:t xml:space="preserve"> </w:t>
      </w:r>
      <w:r>
        <w:t xml:space="preserve">Para verificar o método diretamente, o problema com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livre foi resolvido também como um único MILP, sem decomposição, em horizontes de 28 a 365 dias do cenário de 2025, com as mesmas condições de contorno nas pontas do horizonte e a mesma tolerância (0,01%), e comparado com o Benders em blocos semanais com condição cíclica (Tabela 4.2). O MILP monolítico dá o ótimo exato do horizonte; o Benders, o ótimo do problema com as condições cíclicas semanais, que é uma restrição do primeiro.</w:t>
      </w:r>
    </w:p>
    <w:p>
      <w:pPr>
        <w:pStyle w:val="Legenda"/>
      </w:pPr>
      <w:r>
        <w:t xml:space="preserve">Tabela 4.2 – Benders em blocos semanais e MILP monolítico no cenário de 2025 (HiGHS, quatro núcleos; lucro inclui a receita fixa rateada)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Caso e horizonte</w:t>
            </w:r>
          </w:p>
        </w:tc>
        <w:tc>
          <w:tcPr/>
          <w:p>
            <w:pPr>
              <w:pStyle w:val="Compact"/>
            </w:pPr>
            <w:r>
              <w:t xml:space="preserve">Monolítico:</w:t>
            </w:r>
            <w:r>
              <w:t xml:space="preserve"> </w:t>
            </w:r>
            <m:oMath>
              <m:sSup>
                <m:e>
                  <m:r>
                    <m:t>P</m:t>
                  </m:r>
                </m:e>
                <m:sup>
                  <m:r>
                    <m:t>c</m:t>
                  </m:r>
                  <m:r>
                    <m:t>a</m:t>
                  </m:r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(MW)</w:t>
            </w:r>
          </w:p>
        </w:tc>
        <w:tc>
          <w:tcPr/>
          <w:p>
            <w:pPr>
              <w:pStyle w:val="Compact"/>
            </w:pPr>
            <w:r>
              <w:t xml:space="preserve">Monolítico: lucro (R$ mi)</w:t>
            </w:r>
          </w:p>
        </w:tc>
        <w:tc>
          <w:tcPr/>
          <w:p>
            <w:pPr>
              <w:pStyle w:val="Compact"/>
            </w:pPr>
            <w:r>
              <w:t xml:space="preserve">Monolítico: tempo</w:t>
            </w:r>
          </w:p>
        </w:tc>
        <w:tc>
          <w:tcPr/>
          <w:p>
            <w:pPr>
              <w:pStyle w:val="Compact"/>
            </w:pPr>
            <w:r>
              <w:t xml:space="preserve">Benders:</w:t>
            </w:r>
            <w:r>
              <w:t xml:space="preserve"> </w:t>
            </w:r>
            <m:oMath>
              <m:sSup>
                <m:e>
                  <m:r>
                    <m:t>P</m:t>
                  </m:r>
                </m:e>
                <m:sup>
                  <m:r>
                    <m:t>c</m:t>
                  </m:r>
                  <m:r>
                    <m:t>a</m:t>
                  </m:r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(MW)</w:t>
            </w:r>
          </w:p>
        </w:tc>
        <w:tc>
          <w:tcPr/>
          <w:p>
            <w:pPr>
              <w:pStyle w:val="Compact"/>
            </w:pPr>
            <w:r>
              <w:t xml:space="preserve">Benders: lucro (R$ mi)</w:t>
            </w:r>
          </w:p>
        </w:tc>
        <w:tc>
          <w:tcPr/>
          <w:p>
            <w:pPr>
              <w:pStyle w:val="Compact"/>
            </w:pPr>
            <w:r>
              <w:t xml:space="preserve">Benders: tempo</w:t>
            </w:r>
          </w:p>
        </w:tc>
        <w:tc>
          <w:tcPr/>
          <w:p>
            <w:pPr>
              <w:pStyle w:val="Compact"/>
            </w:pPr>
            <w:r>
              <w:t xml:space="preserve">Diferença no lucro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Sem contrato, 28 dias (jan.)</w:t>
            </w:r>
          </w:p>
        </w:tc>
        <w:tc>
          <w:tcPr/>
          <w:p>
            <w:pPr>
              <w:pStyle w:val="Compact"/>
            </w:pPr>
            <w:r>
              <w:t xml:space="preserve">55,04</w:t>
            </w:r>
          </w:p>
        </w:tc>
        <w:tc>
          <w:tcPr/>
          <w:p>
            <w:pPr>
              <w:pStyle w:val="Compact"/>
            </w:pPr>
            <w:r>
              <w:t xml:space="preserve">4,8912</w:t>
            </w:r>
          </w:p>
        </w:tc>
        <w:tc>
          <w:tcPr/>
          <w:p>
            <w:pPr>
              <w:pStyle w:val="Compact"/>
            </w:pPr>
            <w:r>
              <w:t xml:space="preserve">38 s</w:t>
            </w:r>
          </w:p>
        </w:tc>
        <w:tc>
          <w:tcPr/>
          <w:p>
            <w:pPr>
              <w:pStyle w:val="Compact"/>
            </w:pPr>
            <w:r>
              <w:t xml:space="preserve">55,17</w:t>
            </w:r>
          </w:p>
        </w:tc>
        <w:tc>
          <w:tcPr/>
          <w:p>
            <w:pPr>
              <w:pStyle w:val="Compact"/>
            </w:pPr>
            <w:r>
              <w:t xml:space="preserve">4,8913</w:t>
            </w:r>
          </w:p>
        </w:tc>
        <w:tc>
          <w:tcPr/>
          <w:p>
            <w:pPr>
              <w:pStyle w:val="Compact"/>
            </w:pPr>
            <w:r>
              <w:t xml:space="preserve">46 s</w:t>
            </w:r>
          </w:p>
        </w:tc>
        <w:tc>
          <w:tcPr/>
          <w:p>
            <w:pPr>
              <w:pStyle w:val="Compact"/>
            </w:pPr>
            <w:r>
              <w:t xml:space="preserve">0,00%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Sem contrato, 28 dias (jul.)</w:t>
            </w:r>
          </w:p>
        </w:tc>
        <w:tc>
          <w:tcPr/>
          <w:p>
            <w:pPr>
              <w:pStyle w:val="Compact"/>
            </w:pPr>
            <w:r>
              <w:t xml:space="preserve">51,54</w:t>
            </w:r>
          </w:p>
        </w:tc>
        <w:tc>
          <w:tcPr/>
          <w:p>
            <w:pPr>
              <w:pStyle w:val="Compact"/>
            </w:pPr>
            <w:r>
              <w:t xml:space="preserve">5,1252</w:t>
            </w:r>
          </w:p>
        </w:tc>
        <w:tc>
          <w:tcPr/>
          <w:p>
            <w:pPr>
              <w:pStyle w:val="Compact"/>
            </w:pPr>
            <w:r>
              <w:t xml:space="preserve">8 s</w:t>
            </w:r>
          </w:p>
        </w:tc>
        <w:tc>
          <w:tcPr/>
          <w:p>
            <w:pPr>
              <w:pStyle w:val="Compact"/>
            </w:pPr>
            <w:r>
              <w:t xml:space="preserve">51,53</w:t>
            </w:r>
          </w:p>
        </w:tc>
        <w:tc>
          <w:tcPr/>
          <w:p>
            <w:pPr>
              <w:pStyle w:val="Compact"/>
            </w:pPr>
            <w:r>
              <w:t xml:space="preserve">5,1252</w:t>
            </w:r>
          </w:p>
        </w:tc>
        <w:tc>
          <w:tcPr/>
          <w:p>
            <w:pPr>
              <w:pStyle w:val="Compact"/>
            </w:pPr>
            <w:r>
              <w:t xml:space="preserve">48 s</w:t>
            </w:r>
          </w:p>
        </w:tc>
        <w:tc>
          <w:tcPr/>
          <w:p>
            <w:pPr>
              <w:pStyle w:val="Compact"/>
            </w:pPr>
            <w:r>
              <w:t xml:space="preserve">0,00%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Contrato 3 t/dia, 28 dias (jan.)</w:t>
            </w:r>
          </w:p>
        </w:tc>
        <w:tc>
          <w:tcPr/>
          <w:p>
            <w:pPr>
              <w:pStyle w:val="Compact"/>
            </w:pPr>
            <w:r>
              <w:t xml:space="preserve">54,83</w:t>
            </w:r>
          </w:p>
        </w:tc>
        <w:tc>
          <w:tcPr/>
          <w:p>
            <w:pPr>
              <w:pStyle w:val="Compact"/>
            </w:pPr>
            <w:r>
              <w:t xml:space="preserve">4,6507</w:t>
            </w:r>
          </w:p>
        </w:tc>
        <w:tc>
          <w:tcPr/>
          <w:p>
            <w:pPr>
              <w:pStyle w:val="Compact"/>
            </w:pPr>
            <w:r>
              <w:t xml:space="preserve">37 s</w:t>
            </w:r>
          </w:p>
        </w:tc>
        <w:tc>
          <w:tcPr/>
          <w:p>
            <w:pPr>
              <w:pStyle w:val="Compact"/>
            </w:pPr>
            <w:r>
              <w:t xml:space="preserve">55,37</w:t>
            </w:r>
          </w:p>
        </w:tc>
        <w:tc>
          <w:tcPr/>
          <w:p>
            <w:pPr>
              <w:pStyle w:val="Compact"/>
            </w:pPr>
            <w:r>
              <w:t xml:space="preserve">4,5478</w:t>
            </w:r>
          </w:p>
        </w:tc>
        <w:tc>
          <w:tcPr/>
          <w:p>
            <w:pPr>
              <w:pStyle w:val="Compact"/>
            </w:pPr>
            <w:r>
              <w:t xml:space="preserve">103 s</w:t>
            </w:r>
          </w:p>
        </w:tc>
        <w:tc>
          <w:tcPr/>
          <w:p>
            <w:pPr>
              <w:pStyle w:val="Compact"/>
            </w:pPr>
            <w:r>
              <w:t xml:space="preserve">−2,2%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Contrato 3 t/dia, 28 dias (jul.)</w:t>
            </w:r>
          </w:p>
        </w:tc>
        <w:tc>
          <w:tcPr/>
          <w:p>
            <w:pPr>
              <w:pStyle w:val="Compact"/>
            </w:pPr>
            <w:r>
              <w:t xml:space="preserve">53,53</w:t>
            </w:r>
          </w:p>
        </w:tc>
        <w:tc>
          <w:tcPr/>
          <w:p>
            <w:pPr>
              <w:pStyle w:val="Compact"/>
            </w:pPr>
            <w:r>
              <w:t xml:space="preserve">4,9891</w:t>
            </w:r>
          </w:p>
        </w:tc>
        <w:tc>
          <w:tcPr/>
          <w:p>
            <w:pPr>
              <w:pStyle w:val="Compact"/>
            </w:pPr>
            <w:r>
              <w:t xml:space="preserve">22 s</w:t>
            </w:r>
          </w:p>
        </w:tc>
        <w:tc>
          <w:tcPr/>
          <w:p>
            <w:pPr>
              <w:pStyle w:val="Compact"/>
            </w:pPr>
            <w:r>
              <w:t xml:space="preserve">53,76</w:t>
            </w:r>
          </w:p>
        </w:tc>
        <w:tc>
          <w:tcPr/>
          <w:p>
            <w:pPr>
              <w:pStyle w:val="Compact"/>
            </w:pPr>
            <w:r>
              <w:t xml:space="preserve">4,9664</w:t>
            </w:r>
          </w:p>
        </w:tc>
        <w:tc>
          <w:tcPr/>
          <w:p>
            <w:pPr>
              <w:pStyle w:val="Compact"/>
            </w:pPr>
            <w:r>
              <w:t xml:space="preserve">85 s</w:t>
            </w:r>
          </w:p>
        </w:tc>
        <w:tc>
          <w:tcPr/>
          <w:p>
            <w:pPr>
              <w:pStyle w:val="Compact"/>
            </w:pPr>
            <w:r>
              <w:t xml:space="preserve">−0,46%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Sem contrato, 91 dias</w:t>
            </w:r>
          </w:p>
        </w:tc>
        <w:tc>
          <w:tcPr/>
          <w:p>
            <w:pPr>
              <w:pStyle w:val="Compact"/>
            </w:pPr>
            <w:r>
              <w:t xml:space="preserve">55,08</w:t>
            </w:r>
          </w:p>
        </w:tc>
        <w:tc>
          <w:tcPr/>
          <w:p>
            <w:pPr>
              <w:pStyle w:val="Compact"/>
            </w:pPr>
            <w:r>
              <w:t xml:space="preserve">16,927</w:t>
            </w:r>
          </w:p>
        </w:tc>
        <w:tc>
          <w:tcPr/>
          <w:p>
            <w:pPr>
              <w:pStyle w:val="Compact"/>
            </w:pPr>
            <w:r>
              <w:t xml:space="preserve">21 min</w:t>
            </w:r>
          </w:p>
        </w:tc>
        <w:tc>
          <w:tcPr/>
          <w:p>
            <w:pPr>
              <w:pStyle w:val="Compact"/>
            </w:pPr>
            <w:r>
              <w:t xml:space="preserve">55,05</w:t>
            </w:r>
          </w:p>
        </w:tc>
        <w:tc>
          <w:tcPr/>
          <w:p>
            <w:pPr>
              <w:pStyle w:val="Compact"/>
            </w:pPr>
            <w:r>
              <w:t xml:space="preserve">16,927</w:t>
            </w:r>
          </w:p>
        </w:tc>
        <w:tc>
          <w:tcPr/>
          <w:p>
            <w:pPr>
              <w:pStyle w:val="Compact"/>
            </w:pPr>
            <w:r>
              <w:t xml:space="preserve">83 s</w:t>
            </w:r>
          </w:p>
        </w:tc>
        <w:tc>
          <w:tcPr/>
          <w:p>
            <w:pPr>
              <w:pStyle w:val="Compact"/>
            </w:pPr>
            <w:r>
              <w:t xml:space="preserve">0,00%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Sem contrato, 182 dias</w:t>
            </w:r>
          </w:p>
        </w:tc>
        <w:tc>
          <w:tcPr/>
          <w:p>
            <w:pPr>
              <w:pStyle w:val="Compact"/>
            </w:pPr>
            <w:r>
              <w:t xml:space="preserve">54,39*</w:t>
            </w:r>
          </w:p>
        </w:tc>
        <w:tc>
          <w:tcPr/>
          <w:p>
            <w:pPr>
              <w:pStyle w:val="Compact"/>
            </w:pPr>
            <w:r>
              <w:t xml:space="preserve">33,447*</w:t>
            </w:r>
          </w:p>
        </w:tc>
        <w:tc>
          <w:tcPr/>
          <w:p>
            <w:pPr>
              <w:pStyle w:val="Compact"/>
            </w:pPr>
            <w:r>
              <w:t xml:space="preserve">30 min*</w:t>
            </w:r>
          </w:p>
        </w:tc>
        <w:tc>
          <w:tcPr/>
          <w:p>
            <w:pPr>
              <w:pStyle w:val="Compact"/>
            </w:pPr>
            <w:r>
              <w:t xml:space="preserve">54,64</w:t>
            </w:r>
          </w:p>
        </w:tc>
        <w:tc>
          <w:tcPr/>
          <w:p>
            <w:pPr>
              <w:pStyle w:val="Compact"/>
            </w:pPr>
            <w:r>
              <w:t xml:space="preserve">33,466</w:t>
            </w:r>
          </w:p>
        </w:tc>
        <w:tc>
          <w:tcPr/>
          <w:p>
            <w:pPr>
              <w:pStyle w:val="Compact"/>
            </w:pPr>
            <w:r>
              <w:t xml:space="preserve">137 s</w:t>
            </w:r>
          </w:p>
        </w:tc>
        <w:tc>
          <w:tcPr/>
          <w:p>
            <w:pPr>
              <w:pStyle w:val="Compact"/>
            </w:pPr>
            <w:r>
              <w:t xml:space="preserve">+0,06%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Sem contrato, 365 dias</w:t>
            </w:r>
          </w:p>
        </w:tc>
        <w:tc>
          <w:tcPr/>
          <w:p>
            <w:pPr>
              <w:pStyle w:val="Compact"/>
            </w:pPr>
            <w:r>
              <w:t xml:space="preserve">53,24*</w:t>
            </w:r>
          </w:p>
        </w:tc>
        <w:tc>
          <w:tcPr/>
          <w:p>
            <w:pPr>
              <w:pStyle w:val="Compact"/>
            </w:pPr>
            <w:r>
              <w:t xml:space="preserve">67,723*</w:t>
            </w:r>
          </w:p>
        </w:tc>
        <w:tc>
          <w:tcPr/>
          <w:p>
            <w:pPr>
              <w:pStyle w:val="Compact"/>
            </w:pPr>
            <w:r>
              <w:t xml:space="preserve">30 min*</w:t>
            </w:r>
          </w:p>
        </w:tc>
        <w:tc>
          <w:tcPr/>
          <w:p>
            <w:pPr>
              <w:pStyle w:val="Compact"/>
            </w:pPr>
            <w:r>
              <w:t xml:space="preserve">54,62</w:t>
            </w:r>
          </w:p>
        </w:tc>
        <w:tc>
          <w:tcPr/>
          <w:p>
            <w:pPr>
              <w:pStyle w:val="Compact"/>
            </w:pPr>
            <w:r>
              <w:t xml:space="preserve">67,774</w:t>
            </w:r>
          </w:p>
        </w:tc>
        <w:tc>
          <w:tcPr/>
          <w:p>
            <w:pPr>
              <w:pStyle w:val="Compact"/>
            </w:pPr>
            <w:r>
              <w:t xml:space="preserve">266 s</w:t>
            </w:r>
          </w:p>
        </w:tc>
        <w:tc>
          <w:tcPr/>
          <w:p>
            <w:pPr>
              <w:pStyle w:val="Compact"/>
            </w:pPr>
            <w:r>
              <w:t xml:space="preserve">+0,08%</w:t>
            </w:r>
          </w:p>
        </w:tc>
      </w:tr>
    </w:tbl>
    <w:p>
      <w:pPr>
        <w:pStyle w:val="Fonte"/>
      </w:pPr>
      <w:r>
        <w:t xml:space="preserve">Fonte: elaborado pelo autor. * Interrompido no limite de 30 minutos, com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de 0,07% (182 dias) e 0,09% (365 dias) em relação ao limite superior do próprio MILP; nos demais casos, o MILP monolítico foi resolvido até a tolerância.</w:t>
      </w:r>
    </w:p>
    <w:p>
      <w:pPr>
        <w:pStyle w:val="BodyText"/>
      </w:pPr>
      <w:r>
        <w:t xml:space="preserve">Sem contrato de hidrogênio, os dois métodos chegam ao mesmo lucro, a menos da tolerância, e a potências que diferem em no máximo 0,13 MW, dentro da região plana do ótimo. O tempo do MILP monolítico, porém, cresce muito mais rápido que o horizonte: 38 s para 28 dias, 21 minutos para 91 dias, e, com 182 e 365 dias, o</w:t>
      </w:r>
      <w:r>
        <w:t xml:space="preserve"> </w:t>
      </w:r>
      <w:r>
        <w:rPr>
          <w:i/>
          <w:iCs/>
        </w:rPr>
        <w:t xml:space="preserve">solver</w:t>
      </w:r>
      <w:r>
        <w:t xml:space="preserve"> </w:t>
      </w:r>
      <w:r>
        <w:t xml:space="preserve">não atinge a tolerância em 30 minutos e entrega soluções piores que as do Benders (53,2 MW e R$ 67,72 milhões no ano, contra 54,6 MW e R$ 67,77 milhões em 4,4 minutos). O limite superior do MILP anual (R$ 67,787 milhões) certifica que a solução do Benders está a menos de 0,02% do ótimo exato do ano. Com contrato de 3 t/dia, a condição cíclica semanal custa 0,5% a 2,2% do lucro do mês, coerente com a diferença entre as fronteiras discutida acima, e a potência ótima difere em até 0,5 MW; por isso, nas avaliações com potência fixa, a fronteira dos blocos é tomada da relaxação linear do ano. Com um bloco só, em contrapartida, o Benders não traz vantagem: em uma semana isolada, a função valor não côncava impede o fechamento do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(0,38%), e, em 28 dias, o MILP lagrangiano do corte reforçado não foi resolvido em duas horas, contra 38 s do MILP monolítico. A vantagem do método vem, portanto, da divisão do ano em muitos blocos pequenos e independentes, que mantém cada MILP pequeno e permite resolvê-los em paralelo.</w:t>
      </w:r>
    </w:p>
    <w:p>
      <w:pPr>
        <w:pStyle w:val="BodyText"/>
      </w:pPr>
      <w:r>
        <w:rPr>
          <w:b/>
          <w:bCs/>
        </w:rPr>
        <w:t xml:space="preserve">Dias representativos.</w:t>
      </w:r>
      <w:r>
        <w:t xml:space="preserve"> </w:t>
      </w:r>
      <w:r>
        <w:t xml:space="preserve">Uma alternativa frequente na literatura é reduzir o ano a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dias representativos, obtidos por agrupamento das séries diárias, e resolver o modelo só para esses dias, ponderados pelo número de dias de cada grupo. Para medir o erro dessa abordagem, o MILP de 24 h foi resolvido para cada dia dos cinco cenários e cada potência da grade da curva de oferta, com condição cíclica diária, e os dias de cada ano foram agrupados por</w:t>
      </w:r>
      <w:r>
        <w:t xml:space="preserve"> </w:t>
      </w:r>
      <w:r>
        <w:rPr>
          <w:i/>
          <w:iCs/>
        </w:rPr>
        <w:t xml:space="preserve">k-medoids</w:t>
      </w:r>
      <w:r>
        <w:t xml:space="preserve"> </w:t>
      </w:r>
      <w:r>
        <w:t xml:space="preserve">sobre os perfis horários padronizados de PLD e de fator de capacidade FV, com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= 6, 12, 24 e 48. A Tabela 4.3 compara as curvas de oferta resultantes com a dos blocos semanais.</w:t>
      </w:r>
    </w:p>
    <w:p>
      <w:pPr>
        <w:pStyle w:val="Legenda"/>
      </w:pPr>
      <w:r>
        <w:t xml:space="preserve">Tabela 4.3 – Curva de oferta com blocos semanais, blocos diários e dias representativos (receita fixa de R$ 600 mil/(MW·ano))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Método</w:t>
            </w:r>
          </w:p>
        </w:tc>
        <w:tc>
          <w:tcPr/>
          <w:p>
            <w:pPr>
              <w:pStyle w:val="Compact"/>
            </w:pPr>
            <w:r>
              <w:t xml:space="preserve">Sem contrato: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(R$ mi/ano)</w:t>
            </w:r>
          </w:p>
        </w:tc>
        <w:tc>
          <w:tcPr/>
          <w:p>
            <w:pPr>
              <w:pStyle w:val="Compact"/>
            </w:pPr>
            <w:r>
              <w:t xml:space="preserve">Sem contrato: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sty m:val="p"/>
                </m:rPr>
                <m:t>(</m:t>
              </m:r>
              <m:r>
                <m:t>60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(R$ mi/ano)</w:t>
            </w:r>
          </w:p>
        </w:tc>
        <w:tc>
          <w:tcPr/>
          <w:p>
            <w:pPr>
              <w:pStyle w:val="Compact"/>
            </w:pPr>
            <w:r>
              <w:t xml:space="preserve">Sem contrato: potência ótima (MW)</w:t>
            </w:r>
          </w:p>
        </w:tc>
        <w:tc>
          <w:tcPr/>
          <w:p>
            <w:pPr>
              <w:pStyle w:val="Compact"/>
            </w:pPr>
            <w:r>
              <w:t xml:space="preserve">Contrato 3 t/dia: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(R$ mi/ano)</w:t>
            </w:r>
          </w:p>
        </w:tc>
        <w:tc>
          <w:tcPr/>
          <w:p>
            <w:pPr>
              <w:pStyle w:val="Compact"/>
            </w:pPr>
            <w:r>
              <w:t xml:space="preserve">Contrato 3 t/dia: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sty m:val="p"/>
                </m:rPr>
                <m:t>(</m:t>
              </m:r>
              <m:r>
                <m:t>60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(R$ mi/ano)</w:t>
            </w:r>
          </w:p>
        </w:tc>
        <w:tc>
          <w:tcPr/>
          <w:p>
            <w:pPr>
              <w:pStyle w:val="Compact"/>
            </w:pPr>
            <w:r>
              <w:t xml:space="preserve">Contrato 3 t/dia: potência ótima (MW)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Blocos semanais (referência)</w:t>
            </w:r>
          </w:p>
        </w:tc>
        <w:tc>
          <w:tcPr/>
          <w:p>
            <w:pPr>
              <w:pStyle w:val="Compact"/>
            </w:pPr>
            <w:r>
              <w:t xml:space="preserve">45,03</w:t>
            </w:r>
          </w:p>
        </w:tc>
        <w:tc>
          <w:tcPr/>
          <w:p>
            <w:pPr>
              <w:pStyle w:val="Compact"/>
            </w:pPr>
            <w:r>
              <w:t xml:space="preserve">14,05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39,38</w:t>
            </w:r>
          </w:p>
        </w:tc>
        <w:tc>
          <w:tcPr/>
          <w:p>
            <w:pPr>
              <w:pStyle w:val="Compact"/>
            </w:pPr>
            <w:r>
              <w:t xml:space="preserve">14,43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Blocos diários (todos os dias)</w:t>
            </w:r>
          </w:p>
        </w:tc>
        <w:tc>
          <w:tcPr/>
          <w:p>
            <w:pPr>
              <w:pStyle w:val="Compact"/>
            </w:pPr>
            <w:r>
              <w:t xml:space="preserve">44,93</w:t>
            </w:r>
          </w:p>
        </w:tc>
        <w:tc>
          <w:tcPr/>
          <w:p>
            <w:pPr>
              <w:pStyle w:val="Compact"/>
            </w:pPr>
            <w:r>
              <w:t xml:space="preserve">13,95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34,78</w:t>
            </w:r>
          </w:p>
        </w:tc>
        <w:tc>
          <w:tcPr/>
          <w:p>
            <w:pPr>
              <w:pStyle w:val="Compact"/>
            </w:pPr>
            <w:r>
              <w:t xml:space="preserve">10,15</w:t>
            </w:r>
          </w:p>
        </w:tc>
        <w:tc>
          <w:tcPr/>
          <w:p>
            <w:pPr>
              <w:pStyle w:val="Compact"/>
            </w:pPr>
            <w:r>
              <w:t xml:space="preserve">57,5</w:t>
            </w:r>
          </w:p>
        </w:tc>
      </w:tr>
      <w:tr>
        <w:tc>
          <w:tcPr/>
          <w:p>
            <w:pPr>
              <w:pStyle w:val="Compact"/>
            </w:pPr>
            <w:r>
              <w:t xml:space="preserve">6 dias representativos</w:t>
            </w:r>
          </w:p>
        </w:tc>
        <w:tc>
          <w:tcPr/>
          <w:p>
            <w:pPr>
              <w:pStyle w:val="Compact"/>
            </w:pPr>
            <w:r>
              <w:t xml:space="preserve">46,57</w:t>
            </w:r>
          </w:p>
        </w:tc>
        <w:tc>
          <w:tcPr/>
          <w:p>
            <w:pPr>
              <w:pStyle w:val="Compact"/>
            </w:pPr>
            <w:r>
              <w:t xml:space="preserve">14,12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36,23</w:t>
            </w:r>
          </w:p>
        </w:tc>
        <w:tc>
          <w:tcPr/>
          <w:p>
            <w:pPr>
              <w:pStyle w:val="Compact"/>
            </w:pPr>
            <w:r>
              <w:t xml:space="preserve">8,59</w:t>
            </w:r>
          </w:p>
        </w:tc>
        <w:tc>
          <w:tcPr/>
          <w:p>
            <w:pPr>
              <w:pStyle w:val="Compact"/>
            </w:pPr>
            <w:r>
              <w:t xml:space="preserve">57,5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 dias representativos</w:t>
            </w:r>
          </w:p>
        </w:tc>
        <w:tc>
          <w:tcPr/>
          <w:p>
            <w:pPr>
              <w:pStyle w:val="Compact"/>
            </w:pPr>
            <w:r>
              <w:t xml:space="preserve">45,67</w:t>
            </w:r>
          </w:p>
        </w:tc>
        <w:tc>
          <w:tcPr/>
          <w:p>
            <w:pPr>
              <w:pStyle w:val="Compact"/>
            </w:pPr>
            <w:r>
              <w:t xml:space="preserve">13,92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34,76</w:t>
            </w:r>
          </w:p>
        </w:tc>
        <w:tc>
          <w:tcPr/>
          <w:p>
            <w:pPr>
              <w:pStyle w:val="Compact"/>
            </w:pPr>
            <w:r>
              <w:t xml:space="preserve">8,51</w:t>
            </w:r>
          </w:p>
        </w:tc>
        <w:tc>
          <w:tcPr/>
          <w:p>
            <w:pPr>
              <w:pStyle w:val="Compact"/>
            </w:pPr>
            <w:r>
              <w:t xml:space="preserve">57,5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 dias representativos</w:t>
            </w:r>
          </w:p>
        </w:tc>
        <w:tc>
          <w:tcPr/>
          <w:p>
            <w:pPr>
              <w:pStyle w:val="Compact"/>
            </w:pPr>
            <w:r>
              <w:t xml:space="preserve">45,86</w:t>
            </w:r>
          </w:p>
        </w:tc>
        <w:tc>
          <w:tcPr/>
          <w:p>
            <w:pPr>
              <w:pStyle w:val="Compact"/>
            </w:pPr>
            <w:r>
              <w:t xml:space="preserve">14,13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35,25</w:t>
            </w:r>
          </w:p>
        </w:tc>
        <w:tc>
          <w:tcPr/>
          <w:p>
            <w:pPr>
              <w:pStyle w:val="Compact"/>
            </w:pPr>
            <w:r>
              <w:t xml:space="preserve">9,14</w:t>
            </w:r>
          </w:p>
        </w:tc>
        <w:tc>
          <w:tcPr/>
          <w:p>
            <w:pPr>
              <w:pStyle w:val="Compact"/>
            </w:pPr>
            <w:r>
              <w:t xml:space="preserve">57,5</w:t>
            </w:r>
          </w:p>
        </w:tc>
      </w:tr>
      <w:tr>
        <w:tc>
          <w:tcPr/>
          <w:p>
            <w:pPr>
              <w:pStyle w:val="Compact"/>
            </w:pPr>
            <w:r>
              <w:t xml:space="preserve">48 dias representativos</w:t>
            </w:r>
          </w:p>
        </w:tc>
        <w:tc>
          <w:tcPr/>
          <w:p>
            <w:pPr>
              <w:pStyle w:val="Compact"/>
            </w:pPr>
            <w:r>
              <w:t xml:space="preserve">45,35</w:t>
            </w:r>
          </w:p>
        </w:tc>
        <w:tc>
          <w:tcPr/>
          <w:p>
            <w:pPr>
              <w:pStyle w:val="Compact"/>
            </w:pPr>
            <w:r>
              <w:t xml:space="preserve">14,01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34,83</w:t>
            </w:r>
          </w:p>
        </w:tc>
        <w:tc>
          <w:tcPr/>
          <w:p>
            <w:pPr>
              <w:pStyle w:val="Compact"/>
            </w:pPr>
            <w:r>
              <w:t xml:space="preserve">9,55</w:t>
            </w:r>
          </w:p>
        </w:tc>
        <w:tc>
          <w:tcPr/>
          <w:p>
            <w:pPr>
              <w:pStyle w:val="Compact"/>
            </w:pPr>
            <w:r>
              <w:t xml:space="preserve">57,5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Sem contrato de hidrogênio, a operação se repete em ciclos diários, e os blocos diários reproduzem os semanais a menos de 0,2%. O agrupamento acrescenta um erro no nível do lucro, superestimado em 0,7% a 3,4% (R$ 0,3 milhão a R$ 1,5 milhão por ano), pois os medoides suavizam a variabilidade dos dias que representam, mas não na perda de lucro com a potência contratada, que difere em até 1,5%: a potência ótima, a receita mínima de entrada (R$ 74 mil a R$ 75 mil, contra R$ 76 mil/(MW·ano)) e o custo marginal do último MW (R$ 0,89 milhão a R$ 0,91 milhão, contra R$ 0,90 milhão/MW) praticamente não mudam. Com contrato de 3 t/dia, o resultado se inverte. Sem poder levar hidrogênio e energia de um dia para outro, o modelo diário subestima o lucro em 8% a 12% e o custo de oportunidade da potência contratada em 30% a 40% (R$ 8,5 milhões a R$ 10,2 milhões, contra R$ 14,4 milhões por ano com 60 MW), pois não enxerga que, com o módulo mercantil menor, cresce o déficit de entrega nas sequências de dias nublados; a potência ótima sobe para 57,5 MW e o custo marginal do último MW cai de R$ 2,0 milhões para R$ 1,3 milhão a R$ 1,4 milhão/MW. Mais dias representativos não corrigem o erro, porque ele vem da perda da cronologia entre dias, e não do agrupamento. Os blocos semanais, ligados pela fronteira da relaxação do ano, preservam essa cronologia e ficam a menos de 0,1% do limite superior até 55 MW; essa é a razão da escolha da decomposição em blocos cronológicos em vez de dias representativos (Seção 3.6).</w:t>
      </w:r>
    </w:p>
    <w:bookmarkEnd w:id="12"/>
    <w:bookmarkStart w:id="26" w:name="Xb33ba098ecda1c076dd3fa5147f472532b1bd56"/>
    <w:p>
      <w:pPr>
        <w:pStyle w:val="Heading2"/>
      </w:pPr>
      <w:r>
        <w:t xml:space="preserve">4.2 BESS a construir: viabilidade e lance mínimo</w:t>
      </w:r>
    </w:p>
    <w:p>
      <w:pPr>
        <w:pStyle w:val="FirstParagraph"/>
      </w:pPr>
      <w:r>
        <w:t xml:space="preserve">Esta seção apresenta o resultado principal do trabalho: a decisão de um proponente que precisa construir o BESS para participar do leilão, situação prevista na Portaria, que trata da contratação de novos sistemas de armazenamento (BRASIL, 2026). A Subseção 4.2.1 avalia a viabilidade do empreendimento com a receita fixa de referência; a Subseção 4.2.2, o valor do BESS e o lance mínimo; a Subseção 4.2.3, a sensibilidade do lance mínimo às hipóteses do modelo; e a Subseção 4.2.4, o dimensionamento do BESS e a comparação com uma bateria isolada.</w:t>
      </w:r>
    </w:p>
    <w:bookmarkStart w:id="16" w:name="viabilidade-do-empreendimento"/>
    <w:p>
      <w:pPr>
        <w:pStyle w:val="Heading3"/>
      </w:pPr>
      <w:r>
        <w:t xml:space="preserve">4.2.1 Viabilidade do empreendimento</w:t>
      </w:r>
    </w:p>
    <w:p>
      <w:pPr>
        <w:pStyle w:val="FirstParagraph"/>
      </w:pPr>
      <w:r>
        <w:t xml:space="preserve">O modelo de operação maximiza o lucro operacional, sem os custos de investimento. Esta subseção avalia, segundo o procedimento da Seção 3.8.2, se o empreendimento se paga com a receita fixa de referência. Os resultados são apresentados na Tabela 4.4 e na Figura 4.2.</w:t>
      </w:r>
    </w:p>
    <w:p>
      <w:pPr>
        <w:pStyle w:val="Legenda"/>
      </w:pPr>
      <w:r>
        <w:t xml:space="preserve">Tabela 4.4 – Viabilidade econômica em 15 anos (receita fixa de R$ 600 mil/(MW·ano))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73"/>
        <w:gridCol w:w="851"/>
        <w:gridCol w:w="851"/>
        <w:gridCol w:w="1873"/>
        <w:gridCol w:w="851"/>
        <w:gridCol w:w="681"/>
        <w:gridCol w:w="9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Caso</w:t>
            </w:r>
          </w:p>
        </w:tc>
        <w:tc>
          <w:tcPr/>
          <w:p>
            <w:pPr>
              <w:pStyle w:val="Compact"/>
            </w:pPr>
            <w:r>
              <w:t xml:space="preserve">Invest. (R$ mi)</w:t>
            </w:r>
          </w:p>
        </w:tc>
        <w:tc>
          <w:tcPr/>
          <w:p>
            <w:pPr>
              <w:pStyle w:val="Compact"/>
            </w:pPr>
            <w:r>
              <w:t xml:space="preserve">Lucro op. (R$ mi/ano)</w:t>
            </w:r>
          </w:p>
        </w:tc>
        <w:tc>
          <w:tcPr/>
          <w:p>
            <w:pPr>
              <w:pStyle w:val="Compact"/>
            </w:pPr>
            <w:r>
              <w:t xml:space="preserve">VPL a 12,1% (R$ mi)</w:t>
            </w:r>
          </w:p>
        </w:tc>
        <w:tc>
          <w:tcPr/>
          <w:p>
            <w:pPr>
              <w:pStyle w:val="Compact"/>
            </w:pPr>
            <w:r>
              <w:t xml:space="preserve">VPL a 8,0% (R$ mi)</w:t>
            </w:r>
          </w:p>
        </w:tc>
        <w:tc>
          <w:tcPr/>
          <w:p>
            <w:pPr>
              <w:pStyle w:val="Compact"/>
            </w:pPr>
            <w:r>
              <w:t xml:space="preserve">TIR real</w:t>
            </w:r>
          </w:p>
        </w:tc>
        <w:tc>
          <w:tcPr/>
          <w:p>
            <w:pPr>
              <w:pStyle w:val="Compact"/>
            </w:pPr>
            <w:r>
              <w:t xml:space="preserve">H₂ eq. (R$/kg)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Referência</w:t>
            </w:r>
          </w:p>
        </w:tc>
        <w:tc>
          <w:tcPr/>
          <w:p>
            <w:pPr>
              <w:pStyle w:val="Compact"/>
            </w:pPr>
            <w:r>
              <w:t xml:space="preserve">792</w:t>
            </w:r>
          </w:p>
        </w:tc>
        <w:tc>
          <w:tcPr/>
          <w:p>
            <w:pPr>
              <w:pStyle w:val="Compact"/>
            </w:pPr>
            <w:r>
              <w:t xml:space="preserve">72,1</w:t>
            </w:r>
          </w:p>
        </w:tc>
        <w:tc>
          <w:tcPr/>
          <w:p>
            <w:pPr>
              <w:pStyle w:val="Compact"/>
            </w:pPr>
            <w:r>
              <w:t xml:space="preserve">−546 (−722 a −321)</w:t>
            </w:r>
          </w:p>
        </w:tc>
        <w:tc>
          <w:tcPr/>
          <w:p>
            <w:pPr>
              <w:pStyle w:val="Compact"/>
            </w:pPr>
            <w:r>
              <w:t xml:space="preserve">−454</w:t>
            </w:r>
          </w:p>
        </w:tc>
        <w:tc>
          <w:tcPr/>
          <w:p>
            <w:pPr>
              <w:pStyle w:val="Compact"/>
            </w:pPr>
            <w:r>
              <w:t xml:space="preserve">−3,1%</w:t>
            </w:r>
          </w:p>
        </w:tc>
        <w:tc>
          <w:tcPr/>
          <w:p>
            <w:pPr>
              <w:pStyle w:val="Compact"/>
            </w:pPr>
            <w:r>
              <w:t xml:space="preserve">116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Contrato 2 t/dia</w:t>
            </w:r>
          </w:p>
        </w:tc>
        <w:tc>
          <w:tcPr/>
          <w:p>
            <w:pPr>
              <w:pStyle w:val="Compact"/>
            </w:pPr>
            <w:r>
              <w:t xml:space="preserve">792</w:t>
            </w:r>
          </w:p>
        </w:tc>
        <w:tc>
          <w:tcPr/>
          <w:p>
            <w:pPr>
              <w:pStyle w:val="Compact"/>
            </w:pPr>
            <w:r>
              <w:t xml:space="preserve">66,2</w:t>
            </w:r>
          </w:p>
        </w:tc>
        <w:tc>
          <w:tcPr/>
          <w:p>
            <w:pPr>
              <w:pStyle w:val="Compact"/>
            </w:pPr>
            <w:r>
              <w:t xml:space="preserve">−584 (−760 a −359)</w:t>
            </w:r>
          </w:p>
        </w:tc>
        <w:tc>
          <w:tcPr/>
          <w:p>
            <w:pPr>
              <w:pStyle w:val="Compact"/>
            </w:pPr>
            <w:r>
              <w:t xml:space="preserve">−502</w:t>
            </w:r>
          </w:p>
        </w:tc>
        <w:tc>
          <w:tcPr/>
          <w:p>
            <w:pPr>
              <w:pStyle w:val="Compact"/>
            </w:pPr>
            <w:r>
              <w:t xml:space="preserve">−4,6%</w:t>
            </w:r>
          </w:p>
        </w:tc>
        <w:tc>
          <w:tcPr/>
          <w:p>
            <w:pPr>
              <w:pStyle w:val="Compact"/>
            </w:pPr>
            <w:r>
              <w:t xml:space="preserve">158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Contrato 3 t/dia</w:t>
            </w:r>
          </w:p>
        </w:tc>
        <w:tc>
          <w:tcPr/>
          <w:p>
            <w:pPr>
              <w:pStyle w:val="Compact"/>
            </w:pPr>
            <w:r>
              <w:t xml:space="preserve">792</w:t>
            </w:r>
          </w:p>
        </w:tc>
        <w:tc>
          <w:tcPr/>
          <w:p>
            <w:pPr>
              <w:pStyle w:val="Compact"/>
            </w:pPr>
            <w:r>
              <w:t xml:space="preserve">69,5</w:t>
            </w:r>
          </w:p>
        </w:tc>
        <w:tc>
          <w:tcPr/>
          <w:p>
            <w:pPr>
              <w:pStyle w:val="Compact"/>
            </w:pPr>
            <w:r>
              <w:t xml:space="preserve">−564 (−739 a −338)</w:t>
            </w:r>
          </w:p>
        </w:tc>
        <w:tc>
          <w:tcPr/>
          <w:p>
            <w:pPr>
              <w:pStyle w:val="Compact"/>
            </w:pPr>
            <w:r>
              <w:t xml:space="preserve">−475</w:t>
            </w:r>
          </w:p>
        </w:tc>
        <w:tc>
          <w:tcPr/>
          <w:p>
            <w:pPr>
              <w:pStyle w:val="Compact"/>
            </w:pPr>
            <w:r>
              <w:t xml:space="preserve">−3,8%</w:t>
            </w:r>
          </w:p>
        </w:tc>
        <w:tc>
          <w:tcPr/>
          <w:p>
            <w:pPr>
              <w:pStyle w:val="Compact"/>
            </w:pPr>
            <w:r>
              <w:t xml:space="preserve">117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Contrato 3 t/dia, tanque de 10 t</w:t>
            </w:r>
          </w:p>
        </w:tc>
        <w:tc>
          <w:tcPr/>
          <w:p>
            <w:pPr>
              <w:pStyle w:val="Compact"/>
            </w:pPr>
            <w:r>
              <w:t xml:space="preserve">835</w:t>
            </w:r>
          </w:p>
        </w:tc>
        <w:tc>
          <w:tcPr/>
          <w:p>
            <w:pPr>
              <w:pStyle w:val="Compact"/>
            </w:pPr>
            <w:r>
              <w:t xml:space="preserve">71,1</w:t>
            </w:r>
          </w:p>
        </w:tc>
        <w:tc>
          <w:tcPr/>
          <w:p>
            <w:pPr>
              <w:pStyle w:val="Compact"/>
            </w:pPr>
            <w:r>
              <w:t xml:space="preserve">−599 (−779 a −359)</w:t>
            </w:r>
          </w:p>
        </w:tc>
        <w:tc>
          <w:tcPr/>
          <w:p>
            <w:pPr>
              <w:pStyle w:val="Compact"/>
            </w:pPr>
            <w:r>
              <w:t xml:space="preserve">−507</w:t>
            </w:r>
          </w:p>
        </w:tc>
        <w:tc>
          <w:tcPr/>
          <w:p>
            <w:pPr>
              <w:pStyle w:val="Compact"/>
            </w:pPr>
            <w:r>
              <w:t xml:space="preserve">−3,9%</w:t>
            </w:r>
          </w:p>
        </w:tc>
        <w:tc>
          <w:tcPr/>
          <w:p>
            <w:pPr>
              <w:pStyle w:val="Compact"/>
            </w:pPr>
            <w:r>
              <w:t xml:space="preserve">120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Importação</w:t>
            </w:r>
          </w:p>
        </w:tc>
        <w:tc>
          <w:tcPr/>
          <w:p>
            <w:pPr>
              <w:pStyle w:val="Compact"/>
            </w:pPr>
            <w:r>
              <w:t xml:space="preserve">792</w:t>
            </w:r>
          </w:p>
        </w:tc>
        <w:tc>
          <w:tcPr/>
          <w:p>
            <w:pPr>
              <w:pStyle w:val="Compact"/>
            </w:pPr>
            <w:r>
              <w:t xml:space="preserve">92,9</w:t>
            </w:r>
          </w:p>
        </w:tc>
        <w:tc>
          <w:tcPr/>
          <w:p>
            <w:pPr>
              <w:pStyle w:val="Compact"/>
            </w:pPr>
            <w:r>
              <w:t xml:space="preserve">−450 (−633 a −210)</w:t>
            </w:r>
          </w:p>
        </w:tc>
        <w:tc>
          <w:tcPr/>
          <w:p>
            <w:pPr>
              <w:pStyle w:val="Compact"/>
            </w:pPr>
            <w:r>
              <w:t xml:space="preserve">−334</w:t>
            </w:r>
          </w:p>
        </w:tc>
        <w:tc>
          <w:tcPr/>
          <w:p>
            <w:pPr>
              <w:pStyle w:val="Compact"/>
            </w:pPr>
            <w:r>
              <w:t xml:space="preserve">0,8%</w:t>
            </w:r>
          </w:p>
        </w:tc>
        <w:tc>
          <w:tcPr/>
          <w:p>
            <w:pPr>
              <w:pStyle w:val="Compact"/>
            </w:pPr>
            <w:r>
              <w:t xml:space="preserve">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Importação,</w:t>
            </w:r>
            <w:r>
              <w:t xml:space="preserve"> </w:t>
            </w:r>
            <m:oMath>
              <m:sSup>
                <m:e>
                  <m:r>
                    <m:t>c</m:t>
                  </m:r>
                </m:e>
                <m:sup>
                  <m:r>
                    <m:t>i</m:t>
                  </m:r>
                  <m:r>
                    <m:t>m</m:t>
                  </m:r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= R$ 100/MWh</w:t>
            </w:r>
          </w:p>
        </w:tc>
        <w:tc>
          <w:tcPr/>
          <w:p>
            <w:pPr>
              <w:pStyle w:val="Compact"/>
            </w:pPr>
            <w:r>
              <w:t xml:space="preserve">792</w:t>
            </w:r>
          </w:p>
        </w:tc>
        <w:tc>
          <w:tcPr/>
          <w:p>
            <w:pPr>
              <w:pStyle w:val="Compact"/>
            </w:pPr>
            <w:r>
              <w:t xml:space="preserve">107,0</w:t>
            </w:r>
          </w:p>
        </w:tc>
        <w:tc>
          <w:tcPr/>
          <w:p>
            <w:pPr>
              <w:pStyle w:val="Compact"/>
            </w:pPr>
            <w:r>
              <w:t xml:space="preserve">−355 (−538 a −116)</w:t>
            </w:r>
          </w:p>
        </w:tc>
        <w:tc>
          <w:tcPr/>
          <w:p>
            <w:pPr>
              <w:pStyle w:val="Compact"/>
            </w:pPr>
            <w:r>
              <w:t xml:space="preserve">−214</w:t>
            </w:r>
          </w:p>
        </w:tc>
        <w:tc>
          <w:tcPr/>
          <w:p>
            <w:pPr>
              <w:pStyle w:val="Compact"/>
            </w:pPr>
            <w:r>
              <w:t xml:space="preserve">3,6%</w:t>
            </w:r>
          </w:p>
        </w:tc>
        <w:tc>
          <w:tcPr/>
          <w:p>
            <w:pPr>
              <w:pStyle w:val="Compact"/>
            </w:pPr>
            <w:r>
              <w:t xml:space="preserve">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Importação,</w:t>
            </w:r>
            <w:r>
              <w:t xml:space="preserve"> </w:t>
            </w:r>
            <m:oMath>
              <m:sSup>
                <m:e>
                  <m:r>
                    <m:t>c</m:t>
                  </m:r>
                </m:e>
                <m:sup>
                  <m:r>
                    <m:t>i</m:t>
                  </m:r>
                  <m:r>
                    <m:t>m</m:t>
                  </m:r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= R$ 400/MWh</w:t>
            </w:r>
          </w:p>
        </w:tc>
        <w:tc>
          <w:tcPr/>
          <w:p>
            <w:pPr>
              <w:pStyle w:val="Compact"/>
            </w:pPr>
            <w:r>
              <w:t xml:space="preserve">792</w:t>
            </w:r>
          </w:p>
        </w:tc>
        <w:tc>
          <w:tcPr/>
          <w:p>
            <w:pPr>
              <w:pStyle w:val="Compact"/>
            </w:pPr>
            <w:r>
              <w:t xml:space="preserve">80,7</w:t>
            </w:r>
          </w:p>
        </w:tc>
        <w:tc>
          <w:tcPr/>
          <w:p>
            <w:pPr>
              <w:pStyle w:val="Compact"/>
            </w:pPr>
            <w:r>
              <w:t xml:space="preserve">−526 (−708 a −288)</w:t>
            </w:r>
          </w:p>
        </w:tc>
        <w:tc>
          <w:tcPr/>
          <w:p>
            <w:pPr>
              <w:pStyle w:val="Compact"/>
            </w:pPr>
            <w:r>
              <w:t xml:space="preserve">−431</w:t>
            </w:r>
          </w:p>
        </w:tc>
        <w:tc>
          <w:tcPr/>
          <w:p>
            <w:pPr>
              <w:pStyle w:val="Compact"/>
            </w:pPr>
            <w:r>
              <w:t xml:space="preserve">−1,7%</w:t>
            </w:r>
          </w:p>
        </w:tc>
        <w:tc>
          <w:tcPr/>
          <w:p>
            <w:pPr>
              <w:pStyle w:val="Compact"/>
            </w:pPr>
            <w:r>
              <w:t xml:space="preserve">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Importação e contrato 3 t/dia</w:t>
            </w:r>
          </w:p>
        </w:tc>
        <w:tc>
          <w:tcPr/>
          <w:p>
            <w:pPr>
              <w:pStyle w:val="Compact"/>
            </w:pPr>
            <w:r>
              <w:t xml:space="preserve">792</w:t>
            </w:r>
          </w:p>
        </w:tc>
        <w:tc>
          <w:tcPr/>
          <w:p>
            <w:pPr>
              <w:pStyle w:val="Compact"/>
            </w:pPr>
            <w:r>
              <w:t xml:space="preserve">73,3</w:t>
            </w:r>
          </w:p>
        </w:tc>
        <w:tc>
          <w:tcPr/>
          <w:p>
            <w:pPr>
              <w:pStyle w:val="Compact"/>
            </w:pPr>
            <w:r>
              <w:t xml:space="preserve">−539 (−715 a −313)</w:t>
            </w:r>
          </w:p>
        </w:tc>
        <w:tc>
          <w:tcPr/>
          <w:p>
            <w:pPr>
              <w:pStyle w:val="Compact"/>
            </w:pPr>
            <w:r>
              <w:t xml:space="preserve">−445</w:t>
            </w:r>
          </w:p>
        </w:tc>
        <w:tc>
          <w:tcPr/>
          <w:p>
            <w:pPr>
              <w:pStyle w:val="Compact"/>
            </w:pPr>
            <w:r>
              <w:t xml:space="preserve">−2,8%</w:t>
            </w:r>
          </w:p>
        </w:tc>
        <w:tc>
          <w:tcPr/>
          <w:p>
            <w:pPr>
              <w:pStyle w:val="Compact"/>
            </w:pPr>
            <w:r>
              <w:t xml:space="preserve">110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Limite 7, fator médio</w:t>
            </w:r>
          </w:p>
        </w:tc>
        <w:tc>
          <w:tcPr/>
          <w:p>
            <w:pPr>
              <w:pStyle w:val="Compact"/>
            </w:pPr>
            <w:r>
              <w:t xml:space="preserve">792</w:t>
            </w:r>
          </w:p>
        </w:tc>
        <w:tc>
          <w:tcPr/>
          <w:p>
            <w:pPr>
              <w:pStyle w:val="Compact"/>
            </w:pPr>
            <w:r>
              <w:t xml:space="preserve">92,9</w:t>
            </w:r>
          </w:p>
        </w:tc>
        <w:tc>
          <w:tcPr/>
          <w:p>
            <w:pPr>
              <w:pStyle w:val="Compact"/>
            </w:pPr>
            <w:r>
              <w:t xml:space="preserve">−450 (−633 a −210)</w:t>
            </w:r>
          </w:p>
        </w:tc>
        <w:tc>
          <w:tcPr/>
          <w:p>
            <w:pPr>
              <w:pStyle w:val="Compact"/>
            </w:pPr>
            <w:r>
              <w:t xml:space="preserve">−334</w:t>
            </w:r>
          </w:p>
        </w:tc>
        <w:tc>
          <w:tcPr/>
          <w:p>
            <w:pPr>
              <w:pStyle w:val="Compact"/>
            </w:pPr>
            <w:r>
              <w:t xml:space="preserve">0,8%</w:t>
            </w:r>
          </w:p>
        </w:tc>
        <w:tc>
          <w:tcPr/>
          <w:p>
            <w:pPr>
              <w:pStyle w:val="Compact"/>
            </w:pPr>
            <w:r>
              <w:t xml:space="preserve">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Limite 3,4, fator médio</w:t>
            </w:r>
          </w:p>
        </w:tc>
        <w:tc>
          <w:tcPr/>
          <w:p>
            <w:pPr>
              <w:pStyle w:val="Compact"/>
            </w:pPr>
            <w:r>
              <w:t xml:space="preserve">792</w:t>
            </w:r>
          </w:p>
        </w:tc>
        <w:tc>
          <w:tcPr/>
          <w:p>
            <w:pPr>
              <w:pStyle w:val="Compact"/>
            </w:pPr>
            <w:r>
              <w:t xml:space="preserve">92,6</w:t>
            </w:r>
          </w:p>
        </w:tc>
        <w:tc>
          <w:tcPr/>
          <w:p>
            <w:pPr>
              <w:pStyle w:val="Compact"/>
            </w:pPr>
            <w:r>
              <w:t xml:space="preserve">−451 (−635 a −212)</w:t>
            </w:r>
          </w:p>
        </w:tc>
        <w:tc>
          <w:tcPr/>
          <w:p>
            <w:pPr>
              <w:pStyle w:val="Compact"/>
            </w:pPr>
            <w:r>
              <w:t xml:space="preserve">−336</w:t>
            </w:r>
          </w:p>
        </w:tc>
        <w:tc>
          <w:tcPr/>
          <w:p>
            <w:pPr>
              <w:pStyle w:val="Compact"/>
            </w:pPr>
            <w:r>
              <w:t xml:space="preserve">0,8%</w:t>
            </w:r>
          </w:p>
        </w:tc>
        <w:tc>
          <w:tcPr/>
          <w:p>
            <w:pPr>
              <w:pStyle w:val="Compact"/>
            </w:pPr>
            <w:r>
              <w:t xml:space="preserve">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Limite 7, fator marginal</w:t>
            </w:r>
          </w:p>
        </w:tc>
        <w:tc>
          <w:tcPr/>
          <w:p>
            <w:pPr>
              <w:pStyle w:val="Compact"/>
            </w:pPr>
            <w:r>
              <w:t xml:space="preserve">792</w:t>
            </w:r>
          </w:p>
        </w:tc>
        <w:tc>
          <w:tcPr/>
          <w:p>
            <w:pPr>
              <w:pStyle w:val="Compact"/>
            </w:pPr>
            <w:r>
              <w:t xml:space="preserve">77,5</w:t>
            </w:r>
          </w:p>
        </w:tc>
        <w:tc>
          <w:tcPr/>
          <w:p>
            <w:pPr>
              <w:pStyle w:val="Compact"/>
            </w:pPr>
            <w:r>
              <w:t xml:space="preserve">−531 (−711 a −298)</w:t>
            </w:r>
          </w:p>
        </w:tc>
        <w:tc>
          <w:tcPr/>
          <w:p>
            <w:pPr>
              <w:pStyle w:val="Compact"/>
            </w:pPr>
            <w:r>
              <w:t xml:space="preserve">−441</w:t>
            </w:r>
          </w:p>
        </w:tc>
        <w:tc>
          <w:tcPr/>
          <w:p>
            <w:pPr>
              <w:pStyle w:val="Compact"/>
            </w:pPr>
            <w:r>
              <w:t xml:space="preserve">−2,1%</w:t>
            </w:r>
          </w:p>
        </w:tc>
        <w:tc>
          <w:tcPr/>
          <w:p>
            <w:pPr>
              <w:pStyle w:val="Compact"/>
            </w:pPr>
            <w:r>
              <w:t xml:space="preserve">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Limite 3,4, fator marginal</w:t>
            </w:r>
          </w:p>
        </w:tc>
        <w:tc>
          <w:tcPr/>
          <w:p>
            <w:pPr>
              <w:pStyle w:val="Compact"/>
            </w:pPr>
            <w:r>
              <w:t xml:space="preserve">792</w:t>
            </w:r>
          </w:p>
        </w:tc>
        <w:tc>
          <w:tcPr/>
          <w:p>
            <w:pPr>
              <w:pStyle w:val="Compact"/>
            </w:pPr>
            <w:r>
              <w:t xml:space="preserve">74,4</w:t>
            </w:r>
          </w:p>
        </w:tc>
        <w:tc>
          <w:tcPr/>
          <w:p>
            <w:pPr>
              <w:pStyle w:val="Compact"/>
            </w:pPr>
            <w:r>
              <w:t xml:space="preserve">−533 (−708 a −307)</w:t>
            </w:r>
          </w:p>
        </w:tc>
        <w:tc>
          <w:tcPr/>
          <w:p>
            <w:pPr>
              <w:pStyle w:val="Compact"/>
            </w:pPr>
            <w:r>
              <w:t xml:space="preserve">−436</w:t>
            </w:r>
          </w:p>
        </w:tc>
        <w:tc>
          <w:tcPr/>
          <w:p>
            <w:pPr>
              <w:pStyle w:val="Compact"/>
            </w:pPr>
            <w:r>
              <w:t xml:space="preserve">−2,6%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Eletrolisador 10 MW</w:t>
            </w:r>
          </w:p>
        </w:tc>
        <w:tc>
          <w:tcPr/>
          <w:p>
            <w:pPr>
              <w:pStyle w:val="Compact"/>
            </w:pPr>
            <w:r>
              <w:t xml:space="preserve">711</w:t>
            </w:r>
          </w:p>
        </w:tc>
        <w:tc>
          <w:tcPr/>
          <w:p>
            <w:pPr>
              <w:pStyle w:val="Compact"/>
            </w:pPr>
            <w:r>
              <w:t xml:space="preserve">64,2</w:t>
            </w:r>
          </w:p>
        </w:tc>
        <w:tc>
          <w:tcPr/>
          <w:p>
            <w:pPr>
              <w:pStyle w:val="Compact"/>
            </w:pPr>
            <w:r>
              <w:t xml:space="preserve">−506 (−659 a −322)</w:t>
            </w:r>
          </w:p>
        </w:tc>
        <w:tc>
          <w:tcPr/>
          <w:p>
            <w:pPr>
              <w:pStyle w:val="Compact"/>
            </w:pPr>
            <w:r>
              <w:t xml:space="preserve">−430</w:t>
            </w:r>
          </w:p>
        </w:tc>
        <w:tc>
          <w:tcPr/>
          <w:p>
            <w:pPr>
              <w:pStyle w:val="Compact"/>
            </w:pPr>
            <w:r>
              <w:t xml:space="preserve">−3,5%</w:t>
            </w:r>
          </w:p>
        </w:tc>
        <w:tc>
          <w:tcPr/>
          <w:p>
            <w:pPr>
              <w:pStyle w:val="Compact"/>
            </w:pPr>
            <w:r>
              <w:t xml:space="preserve">126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Eletrolisador 25 MW</w:t>
            </w:r>
          </w:p>
        </w:tc>
        <w:tc>
          <w:tcPr/>
          <w:p>
            <w:pPr>
              <w:pStyle w:val="Compact"/>
            </w:pPr>
            <w:r>
              <w:t xml:space="preserve">873</w:t>
            </w:r>
          </w:p>
        </w:tc>
        <w:tc>
          <w:tcPr/>
          <w:p>
            <w:pPr>
              <w:pStyle w:val="Compact"/>
            </w:pPr>
            <w:r>
              <w:t xml:space="preserve">77,7</w:t>
            </w:r>
          </w:p>
        </w:tc>
        <w:tc>
          <w:tcPr/>
          <w:p>
            <w:pPr>
              <w:pStyle w:val="Compact"/>
            </w:pPr>
            <w:r>
              <w:t xml:space="preserve">−612 (−813 a −340)</w:t>
            </w:r>
          </w:p>
        </w:tc>
        <w:tc>
          <w:tcPr/>
          <w:p>
            <w:pPr>
              <w:pStyle w:val="Compact"/>
            </w:pPr>
            <w:r>
              <w:t xml:space="preserve">−512</w:t>
            </w:r>
          </w:p>
        </w:tc>
        <w:tc>
          <w:tcPr/>
          <w:p>
            <w:pPr>
              <w:pStyle w:val="Compact"/>
            </w:pPr>
            <w:r>
              <w:t xml:space="preserve">−3,4%</w:t>
            </w:r>
          </w:p>
        </w:tc>
        <w:tc>
          <w:tcPr/>
          <w:p>
            <w:pPr>
              <w:pStyle w:val="Compact"/>
            </w:pPr>
            <w:r>
              <w:t xml:space="preserve">115</w:t>
            </w:r>
          </w:p>
        </w:tc>
      </w:tr>
    </w:tbl>
    <w:p>
      <w:pPr>
        <w:pStyle w:val="Fonte"/>
      </w:pPr>
      <w:r>
        <w:t xml:space="preserve">Fonte: elaborado pelo autor. Investimento (sem os juros durante a construção), TIR e preço de equilíbrio do H₂ (H₂ eq., à taxa de 12,1%) com investimento central; o VPL inclui os juros durante a construção (um ano) e as trocas de pilhas do eletrolisador; entre parênteses, VPL a 12,1% com investimento alto e baixo. O lucro operacional exclui a degradação do módulo LRCAP, coberta pelo O&amp;M fixo, e o fluxo desconta o O&amp;M fixo, o uso da rede e o PIS/Cofins de 3,65% sobre a receita bruta (Seção 3.8.2). Limites de emissões em kgCO₂/kgH₂ (Subseção 4.3.5). Nos casos de eletrolisador de 10 MW e de limite de emissões com fator marginal, o preço de equilíbrio usa o H₂ vendido na potência ótima da curva de oferta (50 ou 52,5 MW), e não na de 55 MW do VPL, e fica levemente subestimado.</w:t>
      </w:r>
    </w:p>
    <w:p>
      <w:pPr>
        <w:pStyle w:val="BodyText"/>
      </w:pPr>
      <w:r>
        <w:t xml:space="preserve">Com os parâmetros adotados, nenhum caso central é economicamente viável. No caso de referência, o investimento de R$ 792 milhões — R$ 212 milhões na usina FV, R$ 380 milhões no BESS, R$ 189 milhões no eletrolisador e R$ 11 milhões no tanque de hidrogênio —, acrescido de R$ 47 milhões de juros durante a construção, gera fluxo anual de R$ 43,1 milhões, após R$ 18,3 milhões de O&amp;M fixo, R$ 7,9 milhões de uso da rede e R$ 2,7 milhões de PIS/Cofins, e a TIR real é negativa (−3,1%). O preço do hidrogênio que tornaria o VPL nulo à taxa de 12,1% é de cerca de R$ 116/kg, mais que o triplo do valor adotado (R$ 89/kg à taxa de 8%). O caso de importação de energia, o de maior lucro, tem VPL negativo em toda a faixa de investimento e nas duas taxas, mesmo com a troca de pilhas que o seu fator de capacidade de 0,92 exige no oitavo ano (R$ 30 milhões em valor presente); no cenário mais favorável, com investimento baixo e taxa de 8%, o VPL é de −R$ 86 milhões. Apenas com custo adicional de importação de R$ 100/MWh, investimento baixo e taxa de 8% o VPL se torna positivo, de R$ 34 milhões, o único caso viável dentre os avaliados, o que antecipa a importância da regra de suprimento do eletrolisador discutida nas Subseções 4.3.4 e 4.3.5. Com o limite de emissões do marco legal, o resultado depende do fator de emissão da rede: com o fator médio do SIN, o VPL é praticamente o da importação livre; com o fator marginal, fica entre este e o do caso de referência.</w:t>
      </w:r>
    </w:p>
    <w:p>
      <w:pPr>
        <w:pStyle w:val="Legenda"/>
      </w:pPr>
      <w:r>
        <w:t xml:space="preserve">Figura 4.2 – Viabilidade econômica: (a) VPL do projeto por caso; (b) ganho anual proporcionado pelo BESS em função da receita fixa, comparado com o seu custo anual equivalente</w:t>
      </w:r>
    </w:p>
    <w:p>
      <w:pPr>
        <w:pStyle w:val="Figura"/>
      </w:pPr>
      <w:r>
        <w:drawing>
          <wp:inline>
            <wp:extent cx="5334000" cy="1905000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figuras/viabilidade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bookmarkEnd w:id="16"/>
    <w:bookmarkStart w:id="20" w:name="valor-do-bess-e-lance-mínimo"/>
    <w:p>
      <w:pPr>
        <w:pStyle w:val="Heading3"/>
      </w:pPr>
      <w:r>
        <w:t xml:space="preserve">4.2.2 Valor do BESS e lance mínimo</w:t>
      </w:r>
    </w:p>
    <w:p>
      <w:pPr>
        <w:pStyle w:val="FirstParagraph"/>
      </w:pPr>
      <w:r>
        <w:rPr>
          <w:b/>
          <w:bCs/>
        </w:rPr>
        <w:t xml:space="preserve">Valor do BESS.</w:t>
      </w:r>
      <w:r>
        <w:t xml:space="preserve"> </w:t>
      </w:r>
      <w:r>
        <w:t xml:space="preserve">Sem a bateria, e portanto sem o leilão, o lucro operacional esperado é de R$ 35,4 milhões por ano. Com o BESS e a contratação de 55 MW à receita de R$ 600 mil/(MW·ano), passa a R$ 72,1 milhões. O ganho, de R$ 35,5 milhões por ano depois do PIS/Cofins sobre a receita fixa, não cobre o custo anual equivalente do BESS, de R$ 70,1 milhões à taxa de 12,1% com investimento central — R$ 59,3 milhões de capital, incluídos os juros durante a construção, R$ 9,5 milhões de O&amp;M com reposição de módulos e R$ 1,3 milhão de acréscimo de uso da rede (Figura 4.2(b)). Sem a receita do leilão, a bateria agrega apenas R$ 8,8 milhões por ano, provenientes do suprimento noturno do eletrolisador e da arbitragem no MCP, já descontado o seu consumo auxiliar; é, portanto, a receita fixa do LRCAP que pode viabilizá-la.</w:t>
      </w:r>
    </w:p>
    <w:p>
      <w:pPr>
        <w:pStyle w:val="BodyText"/>
      </w:pPr>
      <w:r>
        <w:rPr>
          <w:b/>
          <w:bCs/>
        </w:rPr>
        <w:t xml:space="preserve">Lance mínimo.</w:t>
      </w:r>
      <w:r>
        <w:t xml:space="preserve"> </w:t>
      </w:r>
      <w:r>
        <w:t xml:space="preserve">A Figura 4.3 compara a curva de oferta de um BESS já existente, obtida na Subseção 4.3.3, com a de um BESS a construir e decompõe o lance mínimo do caso central; a Tabela 4.5 apresenta o lance mínimo para cada faixa de investimento e taxa de desconto.</w:t>
      </w:r>
    </w:p>
    <w:p>
      <w:pPr>
        <w:pStyle w:val="Legenda"/>
      </w:pPr>
      <w:r>
        <w:t xml:space="preserve">Figura 4.3 – Lance mínimo para a construção do BESS: (a) potência ótima a ofertar com BESS existente e a construir; (b) parcelas do lance mínimo no caso central</w:t>
      </w:r>
    </w:p>
    <w:p>
      <w:pPr>
        <w:pStyle w:val="Figura"/>
      </w:pPr>
      <w:r>
        <w:drawing>
          <wp:inline>
            <wp:extent cx="5334000" cy="2297723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figuras/curva_oferta_investimento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977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Legenda"/>
      </w:pPr>
      <w:r>
        <w:t xml:space="preserve">Tabela 4.5 – Lance mínimo para a construção do BESS, em R$ mil/(MW·ano), e potência ofertada nesse lance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Taxa de desconto</w:t>
            </w:r>
          </w:p>
        </w:tc>
        <w:tc>
          <w:tcPr/>
          <w:p>
            <w:pPr>
              <w:pStyle w:val="Compact"/>
            </w:pPr>
            <w:r>
              <w:t xml:space="preserve">Investimento baixo (R$ 5.000/kW)</w:t>
            </w:r>
          </w:p>
        </w:tc>
        <w:tc>
          <w:tcPr/>
          <w:p>
            <w:pPr>
              <w:pStyle w:val="Compact"/>
            </w:pPr>
            <w:r>
              <w:t xml:space="preserve">Investimento central (R$ 5.500/kW)</w:t>
            </w:r>
          </w:p>
        </w:tc>
        <w:tc>
          <w:tcPr/>
          <w:p>
            <w:pPr>
              <w:pStyle w:val="Compact"/>
            </w:pPr>
            <w:r>
              <w:t xml:space="preserve">Investimento alto (R$ 6.000/kW)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12,1% (central)</w:t>
            </w:r>
          </w:p>
        </w:tc>
        <w:tc>
          <w:tcPr/>
          <w:p>
            <w:pPr>
              <w:pStyle w:val="Compact"/>
            </w:pPr>
            <w:r>
              <w:t xml:space="preserve">1.106 (60 MW)</w:t>
            </w:r>
          </w:p>
        </w:tc>
        <w:tc>
          <w:tcPr/>
          <w:p>
            <w:pPr>
              <w:pStyle w:val="Compact"/>
            </w:pPr>
            <w:r>
              <w:t xml:space="preserve">1.214 (60 MW)</w:t>
            </w:r>
          </w:p>
        </w:tc>
        <w:tc>
          <w:tcPr/>
          <w:p>
            <w:pPr>
              <w:pStyle w:val="Compact"/>
            </w:pPr>
            <w:r>
              <w:t xml:space="preserve">1.322 (60 MW)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8,0%</w:t>
            </w:r>
          </w:p>
        </w:tc>
        <w:tc>
          <w:tcPr/>
          <w:p>
            <w:pPr>
              <w:pStyle w:val="Compact"/>
            </w:pPr>
            <w:r>
              <w:t xml:space="preserve">897 (60 MW)</w:t>
            </w:r>
          </w:p>
        </w:tc>
        <w:tc>
          <w:tcPr/>
          <w:p>
            <w:pPr>
              <w:pStyle w:val="Compact"/>
            </w:pPr>
            <w:r>
              <w:t xml:space="preserve">984 (60 MW)</w:t>
            </w:r>
          </w:p>
        </w:tc>
        <w:tc>
          <w:tcPr/>
          <w:p>
            <w:pPr>
              <w:pStyle w:val="Compact"/>
            </w:pPr>
            <w:r>
              <w:t xml:space="preserve">1.072 (60 MW)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Quando o BESS ainda será construído, a curva de oferta deixa de ser escalonada e passa a ser do tipo</w:t>
      </w:r>
      <w:r>
        <w:t xml:space="preserve"> </w:t>
      </w:r>
      <w:r>
        <w:t xml:space="preserve">“tudo ou nada”</w:t>
      </w:r>
      <w:r>
        <w:t xml:space="preserve">: abaixo do lance mínimo, o proponente não constrói a bateria e não oferta potência; acima dele, oferta toda a potência do BESS de referência, de 60 MW. Com a bateria dimensionada para o contrato, a oferta deixa de ser</w:t>
      </w:r>
      <w:r>
        <w:t xml:space="preserve"> </w:t>
      </w:r>
      <w:r>
        <w:t xml:space="preserve">“tudo ou nada”</w:t>
      </w:r>
      <w:r>
        <w:t xml:space="preserve"> </w:t>
      </w:r>
      <w:r>
        <w:t xml:space="preserve">(Subseção 4.2.4). A curva escalonada da Seção 4.3 descreve, portanto, a decisão de um proponente que já dispõe do BESS. O lance mínimo no caso central é de R$ 1,214 milhão/(MW·ano) e corresponde ao custo anual equivalente do BESS por MW, acrescido do PIS/Cofins sobre a receita fixa (Figura 4.3(b)): R$ 989 mil de capital, dos quais R$ 55 mil de juros durante a construção, R$ 158 mil de O&amp;M com reposição de módulos, R$ 22 mil de acréscimo de uso da rede e R$ 45 mil de tributos sobre a receita. O capital reflete a energia da bateria: com 300 MWh, ou 5 h, o investimento é de R$ 380 milhões, 15% acima do valor de referência de um sistema de 4 h. O uso da rede pesa pouco porque a bateria compartilha a conexão com a usina FV e eleva o montante de uso de injeção em apenas 10 MW. As demais parcelas são nulas: o consumo auxiliar de 1% da potência cabe na folga de recarga custeada pela CONCAP, e, com 60 MW contratados, o módulo mercantil se anula, de modo que o uso mercantil da bateria não reduz o lance. O lance mínimo supera em 46% o preço médio obtido por termelétricas existentes no LRCAP de março de 2026 (R$ 831 mil/(MW·ano)) — mesmo no cenário mais favorável, com investimento baixo e taxa de 8%, ele fica em R$ 897 mil — e é muito inferior ao das termelétricas e hidrelétricas do leilão anterior (R$ 2,33 milhões/(MW·ano)). Essa comparação, porém, é apenas indicativa, pois os produtos não são equivalentes. As termelétricas do LRCAP, além da receita fixa, são ressarcidas do custo variável unitário (CVU) da energia que geram quando despachadas e podem sustentar a potência por tempo indeterminado; a bateria entrega a potência por, no máximo, 4 h a cada despacho e arca com as perdas e o consumo auxiliar além da folga de recarga custeada pela CONCAP. A receita fixa por MW·ano não mede, assim, o custo total de cada fonte para o consumidor nem sua contribuição para a confiabilidade do sistema; uma comparação rigorosa exigiria o custo por MW de capacidade equivalente, que depende da contribuição de cada tecnologia para o atendimento da ponta, e está fora do escopo deste trabalho. Com essa ressalva, o lance situa-se entre o preço das usinas existentes e o da expansão térmica e hidrelétrica. A receita de R$ 600 mil/(MW·ano) adotada no caso de referência é inferior ao lance mínimo em todas as combinações avaliadas: com ela, um proponente racional não construiria o BESS.</w:t>
      </w:r>
    </w:p>
    <w:p>
      <w:pPr>
        <w:pStyle w:val="BodyText"/>
      </w:pPr>
      <w:r>
        <w:rPr>
          <w:b/>
          <w:bCs/>
        </w:rPr>
        <w:t xml:space="preserve">Por que o investimento entra no lance.</w:t>
      </w:r>
      <w:r>
        <w:t xml:space="preserve"> </w:t>
      </w:r>
      <w:r>
        <w:t xml:space="preserve">O lance mínimo inclui o investimento no BESS porque a Portaria contrata sistemas novos, que só serão construídos se a receita fixa os remunerar, e o mercado não o faz: sem o leilão, o BESS acrescenta R$ 8,8 milhões por ano ao lucro operacional da usina, contra um custo anual equivalente de R$ 70,1 milhões. Um lance abaixo do custo anual da bateria venceria o leilão com VPL negativo; o lance mínimo é, por construção, o preço de VPL nulo do BESS. Por isso, a comparação pertinente é com a remuneração de capacidade nova, e não com a de usinas existentes, cujo investimento já foi amortizado: o lance de R$ 1,16 milhão a R$ 1,21 milhão/(MW·ano) supera o preço das termelétricas existentes (R$ 831 mil), mas corresponde a cerca de metade do obtido no leilão que incluiu expansão térmica e hidrelétrica (R$ 2,33 milhões). O investimento deixaria de entrar no lance em dois casos: se a bateria fosse construída de qualquer forma, justificada pela arbitragem ou pelo hidrogênio, quando seu custo seria afundado e a oferta seguiria a curva escalonada da Seção 4.3, a partir de cerca de R$ 76 mil/(MW·ano); e na parcela de custos compartilhados com a usina, como a conexão, que já reduz o lance em R$ 136 mil/(MW·ano) (Subseção 4.2.4). Nenhum dos dois se verifica no caso de referência, em que o uso mercantil cobre 13% do custo anual da bateria. As alavancas que reduzem o lance estão, portanto, no próprio investimento e no custo de capital: com os custos internacionais de 2025, o lance seria de R$ 0,5 milhão a R$ 1,0 milhão (Subseção 4.2.3), e cada ponto percentual a menos na taxa de desconto o reduz em cerca de 5%.</w:t>
      </w:r>
    </w:p>
    <w:p>
      <w:pPr>
        <w:pStyle w:val="BodyText"/>
      </w:pPr>
      <w:r>
        <w:rPr>
          <w:b/>
          <w:bCs/>
        </w:rPr>
        <w:t xml:space="preserve">Relação entre a curva de oferta e o lance.</w:t>
      </w:r>
      <w:r>
        <w:t xml:space="preserve"> </w:t>
      </w:r>
      <w:r>
        <w:t xml:space="preserve">As duas análises do trabalho são complementares. A curva de oferta da Seção 4.3 mede, por meio do modelo de operação, quanto lucro operacional a usina perde por comprometer cada MW do BESS com o leilão,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, e define a oferta de quem já dispõe da bateria; o lance mínimo soma a essa perda o custo de construir a bateria. Antes da otimização, não se sabe qual potência ofertar no lance nem quanto vale essa perda: se o uso mercantil ou a produção de hidrogênio fossem valiosos, poderia ser ótimo reter parte do BESS, e o lance incorporaria a perda correspondente. O modelo mostra que, no caso de referência, ao preço do lance todos os MW valem mais no leilão (o custo marginal do último MW, R$ 895 mil, é inferior ao lance) e que, com o BESS todo contratado, a usina opera como se não houvesse bateria, de modo que a parcela de uso mercantil é nula e o lance se reduz ao custo anual do BESS. Esse é um resultado, e não uma hipótese: com contrato de 3 t/dia de hidrogênio, reter parte da bateria compensa, a potência ofertada no lance é de 57,5 MW e o lance cai 3% (Tabela 4.6).</w:t>
      </w:r>
    </w:p>
    <w:bookmarkEnd w:id="20"/>
    <w:bookmarkStart w:id="24" w:name="sensibilidade-do-lance-mínimo"/>
    <w:p>
      <w:pPr>
        <w:pStyle w:val="Heading3"/>
      </w:pPr>
      <w:r>
        <w:t xml:space="preserve">4.2.3 Sensibilidade do lance mínimo</w:t>
      </w:r>
    </w:p>
    <w:p>
      <w:pPr>
        <w:pStyle w:val="FirstParagraph"/>
      </w:pPr>
      <w:r>
        <w:t xml:space="preserve">O lance mínimo da Subseção 4.2.2 foi recalculado com uma premissa de custo alterada de cada vez e para cada caso de sensibilidade da Seção 3.8.4, com investimento central e taxa de 12,1%. Nos casos que alteram o contrato de hidrogênio, a importação e o tamanho do eletrolisador, o lucro sem BESS também foi recalculado. Os resultados são apresentados na Tabela 4.6.</w:t>
      </w:r>
    </w:p>
    <w:p>
      <w:pPr>
        <w:pStyle w:val="Legenda"/>
      </w:pPr>
      <w:r>
        <w:t xml:space="preserve">Tabela 4.6 – Lance mínimo para a construção do BESS com uma hipótese alterada de cada vez em relação ao caso central (investimento de referência de R$ 5.500/kW para 4 h, taxa de 12,1%, PIS/Cofins de 3,65%, receita reajustada pelo IPCA e implantação em um ano)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00"/>
        <w:gridCol w:w="1440"/>
        <w:gridCol w:w="1440"/>
        <w:gridCol w:w="14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Hipótese alterada</w:t>
            </w:r>
          </w:p>
        </w:tc>
        <w:tc>
          <w:tcPr/>
          <w:p>
            <w:pPr>
              <w:pStyle w:val="Compact"/>
            </w:pPr>
            <w:r>
              <w:t xml:space="preserve">Lance mínimo (R$ mil/MW·ano)</w:t>
            </w:r>
          </w:p>
        </w:tc>
        <w:tc>
          <w:tcPr/>
          <w:p>
            <w:pPr>
              <w:pStyle w:val="Compact"/>
            </w:pPr>
            <w:r>
              <w:t xml:space="preserve">Potência ofertada (MW)</w:t>
            </w:r>
          </w:p>
        </w:tc>
        <w:tc>
          <w:tcPr/>
          <w:p>
            <w:pPr>
              <w:pStyle w:val="Compact"/>
            </w:pPr>
            <w:r>
              <w:t xml:space="preserve">Variação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Premissas de custo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Nenhuma (caso central)</w:t>
            </w:r>
          </w:p>
        </w:tc>
        <w:tc>
          <w:tcPr/>
          <w:p>
            <w:pPr>
              <w:pStyle w:val="Compact"/>
            </w:pPr>
            <w:r>
              <w:t xml:space="preserve">1.214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Investimento de referência de R$ 5.000/kW</w:t>
            </w:r>
          </w:p>
        </w:tc>
        <w:tc>
          <w:tcPr/>
          <w:p>
            <w:pPr>
              <w:pStyle w:val="Compact"/>
            </w:pPr>
            <w:r>
              <w:t xml:space="preserve">1.106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−9%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Investimento de referência de R$ 6.000/kW</w:t>
            </w:r>
          </w:p>
        </w:tc>
        <w:tc>
          <w:tcPr/>
          <w:p>
            <w:pPr>
              <w:pStyle w:val="Compact"/>
            </w:pPr>
            <w:r>
              <w:t xml:space="preserve">1.322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Referência da EPE para 3 h</w:t>
            </w:r>
          </w:p>
        </w:tc>
        <w:tc>
          <w:tcPr/>
          <w:p>
            <w:pPr>
              <w:pStyle w:val="Compact"/>
            </w:pPr>
            <w:r>
              <w:t xml:space="preserve">1.473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+21%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Parcela de energia de 45%</w:t>
            </w:r>
          </w:p>
        </w:tc>
        <w:tc>
          <w:tcPr/>
          <w:p>
            <w:pPr>
              <w:pStyle w:val="Compact"/>
            </w:pPr>
            <w:r>
              <w:t xml:space="preserve">1.175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−3%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Parcela de energia de 75%</w:t>
            </w:r>
          </w:p>
        </w:tc>
        <w:tc>
          <w:tcPr/>
          <w:p>
            <w:pPr>
              <w:pStyle w:val="Compact"/>
            </w:pPr>
            <w:r>
              <w:t xml:space="preserve">1.253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Taxa de 8,0% (após impostos)</w:t>
            </w:r>
          </w:p>
        </w:tc>
        <w:tc>
          <w:tcPr/>
          <w:p>
            <w:pPr>
              <w:pStyle w:val="Compact"/>
            </w:pPr>
            <w:r>
              <w:t xml:space="preserve">984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−19%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O&amp;M do BESS de 1,5%</w:t>
            </w:r>
          </w:p>
        </w:tc>
        <w:tc>
          <w:tcPr/>
          <w:p>
            <w:pPr>
              <w:pStyle w:val="Compact"/>
            </w:pPr>
            <w:r>
              <w:t xml:space="preserve">1.148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−5%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O&amp;M do BESS de 3,5%</w:t>
            </w:r>
          </w:p>
        </w:tc>
        <w:tc>
          <w:tcPr/>
          <w:p>
            <w:pPr>
              <w:pStyle w:val="Compact"/>
            </w:pPr>
            <w:r>
              <w:t xml:space="preserve">1.279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TUST de R$ 5,68/kW·mês</w:t>
            </w:r>
          </w:p>
        </w:tc>
        <w:tc>
          <w:tcPr/>
          <w:p>
            <w:pPr>
              <w:pStyle w:val="Compact"/>
            </w:pPr>
            <w:r>
              <w:t xml:space="preserve">1.203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−1%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TUST de R$ 19,49/kW·mês</w:t>
            </w:r>
          </w:p>
        </w:tc>
        <w:tc>
          <w:tcPr/>
          <w:p>
            <w:pPr>
              <w:pStyle w:val="Compact"/>
            </w:pPr>
            <w:r>
              <w:t xml:space="preserve">1.232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Conexão não compartilhada</w:t>
            </w:r>
          </w:p>
        </w:tc>
        <w:tc>
          <w:tcPr/>
          <w:p>
            <w:pPr>
              <w:pStyle w:val="Compact"/>
            </w:pPr>
            <w:r>
              <w:t xml:space="preserve">1.327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Cobrança também da TUST de consumo</w:t>
            </w:r>
          </w:p>
        </w:tc>
        <w:tc>
          <w:tcPr/>
          <w:p>
            <w:pPr>
              <w:pStyle w:val="Compact"/>
            </w:pPr>
            <w:r>
              <w:t xml:space="preserve">1.404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+16%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Sem consumo auxiliar</w:t>
            </w:r>
          </w:p>
        </w:tc>
        <w:tc>
          <w:tcPr/>
          <w:p>
            <w:pPr>
              <w:pStyle w:val="Compact"/>
            </w:pPr>
            <w:r>
              <w:t xml:space="preserve">1.214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Consumo auxiliar de 2%</w:t>
            </w:r>
          </w:p>
        </w:tc>
        <w:tc>
          <w:tcPr/>
          <w:p>
            <w:pPr>
              <w:pStyle w:val="Compact"/>
            </w:pPr>
            <w:r>
              <w:t xml:space="preserve">1.227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Consumo auxiliar sem a folga de recarga da CONCAP</w:t>
            </w:r>
          </w:p>
        </w:tc>
        <w:tc>
          <w:tcPr/>
          <w:p>
            <w:pPr>
              <w:pStyle w:val="Compact"/>
            </w:pPr>
            <w:r>
              <w:t xml:space="preserve">1.229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Disponibilidade de 97%</w:t>
            </w:r>
          </w:p>
        </w:tc>
        <w:tc>
          <w:tcPr/>
          <w:p>
            <w:pPr>
              <w:pStyle w:val="Compact"/>
            </w:pPr>
            <w:r>
              <w:t xml:space="preserve">1.251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Sem PIS/Cofins</w:t>
            </w:r>
          </w:p>
        </w:tc>
        <w:tc>
          <w:tcPr/>
          <w:p>
            <w:pPr>
              <w:pStyle w:val="Compact"/>
            </w:pPr>
            <w:r>
              <w:t xml:space="preserve">1.170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−4%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PIS/Cofins não cumulativo (9,25%)</w:t>
            </w:r>
          </w:p>
        </w:tc>
        <w:tc>
          <w:tcPr/>
          <w:p>
            <w:pPr>
              <w:pStyle w:val="Compact"/>
            </w:pPr>
            <w:r>
              <w:t xml:space="preserve">1.289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Receita fixa sem reajuste pelo IPCA (4% a.a.)</w:t>
            </w:r>
          </w:p>
        </w:tc>
        <w:tc>
          <w:tcPr/>
          <w:p>
            <w:pPr>
              <w:pStyle w:val="Compact"/>
            </w:pPr>
            <w:r>
              <w:t xml:space="preserve">1.515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+25%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Sem juros durante a construção</w:t>
            </w:r>
          </w:p>
        </w:tc>
        <w:tc>
          <w:tcPr/>
          <w:p>
            <w:pPr>
              <w:pStyle w:val="Compact"/>
            </w:pPr>
            <w:r>
              <w:t xml:space="preserve">1.157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−5%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Implantação em 2 anos</w:t>
            </w:r>
          </w:p>
        </w:tc>
        <w:tc>
          <w:tcPr/>
          <w:p>
            <w:pPr>
              <w:pStyle w:val="Compact"/>
            </w:pPr>
            <w:r>
              <w:t xml:space="preserve">1.276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Reposição explícita de módulos somada ao O&amp;M (1 ciclo/dia)</w:t>
            </w:r>
          </w:p>
        </w:tc>
        <w:tc>
          <w:tcPr/>
          <w:p>
            <w:pPr>
              <w:pStyle w:val="Compact"/>
            </w:pPr>
            <w:r>
              <w:t xml:space="preserve">1.289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Despacho de 2 ciclos/dia (reposição acima da de 1 ciclo/dia)</w:t>
            </w:r>
          </w:p>
        </w:tc>
        <w:tc>
          <w:tcPr/>
          <w:p>
            <w:pPr>
              <w:pStyle w:val="Compact"/>
            </w:pPr>
            <w:r>
              <w:t xml:space="preserve">1.278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Hipóteses de operação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Contrato 2 t/dia</w:t>
            </w:r>
          </w:p>
        </w:tc>
        <w:tc>
          <w:tcPr/>
          <w:p>
            <w:pPr>
              <w:pStyle w:val="Compact"/>
            </w:pPr>
            <w:r>
              <w:t xml:space="preserve">1.214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Contrato 3 t/dia</w:t>
            </w:r>
          </w:p>
        </w:tc>
        <w:tc>
          <w:tcPr/>
          <w:p>
            <w:pPr>
              <w:pStyle w:val="Compact"/>
            </w:pPr>
            <w:r>
              <w:t xml:space="preserve">1.179</w:t>
            </w:r>
          </w:p>
        </w:tc>
        <w:tc>
          <w:tcPr/>
          <w:p>
            <w:pPr>
              <w:pStyle w:val="Compact"/>
            </w:pPr>
            <w:r>
              <w:t xml:space="preserve">57,5</w:t>
            </w:r>
          </w:p>
        </w:tc>
        <w:tc>
          <w:tcPr/>
          <w:p>
            <w:pPr>
              <w:pStyle w:val="Compact"/>
            </w:pPr>
            <w:r>
              <w:t xml:space="preserve">−3%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Contrato 3 t/dia, tanque 10 t</w:t>
            </w:r>
          </w:p>
        </w:tc>
        <w:tc>
          <w:tcPr/>
          <w:p>
            <w:pPr>
              <w:pStyle w:val="Compact"/>
            </w:pPr>
            <w:r>
              <w:t xml:space="preserve">1.159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−5%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Importação</w:t>
            </w:r>
          </w:p>
        </w:tc>
        <w:tc>
          <w:tcPr/>
          <w:p>
            <w:pPr>
              <w:pStyle w:val="Compact"/>
            </w:pPr>
            <w:r>
              <w:t xml:space="preserve">1.214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Importação,</w:t>
            </w:r>
            <w:r>
              <w:t xml:space="preserve"> </w:t>
            </w:r>
            <m:oMath>
              <m:sSup>
                <m:e>
                  <m:r>
                    <m:t>c</m:t>
                  </m:r>
                </m:e>
                <m:sup>
                  <m:r>
                    <m:t>i</m:t>
                  </m:r>
                  <m:r>
                    <m:t>m</m:t>
                  </m:r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= R$ 100/MWh</w:t>
            </w:r>
          </w:p>
        </w:tc>
        <w:tc>
          <w:tcPr/>
          <w:p>
            <w:pPr>
              <w:pStyle w:val="Compact"/>
            </w:pPr>
            <w:r>
              <w:t xml:space="preserve">1.214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Importação,</w:t>
            </w:r>
            <w:r>
              <w:t xml:space="preserve"> </w:t>
            </w:r>
            <m:oMath>
              <m:sSup>
                <m:e>
                  <m:r>
                    <m:t>c</m:t>
                  </m:r>
                </m:e>
                <m:sup>
                  <m:r>
                    <m:t>i</m:t>
                  </m:r>
                  <m:r>
                    <m:t>m</m:t>
                  </m:r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= R$ 400/MWh</w:t>
            </w:r>
          </w:p>
        </w:tc>
        <w:tc>
          <w:tcPr/>
          <w:p>
            <w:pPr>
              <w:pStyle w:val="Compact"/>
            </w:pPr>
            <w:r>
              <w:t xml:space="preserve">1.214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Importação e contrato 3 t/dia</w:t>
            </w:r>
          </w:p>
        </w:tc>
        <w:tc>
          <w:tcPr/>
          <w:p>
            <w:pPr>
              <w:pStyle w:val="Compact"/>
            </w:pPr>
            <w:r>
              <w:t xml:space="preserve">1.214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Eletrolisador 10 MW</w:t>
            </w:r>
          </w:p>
        </w:tc>
        <w:tc>
          <w:tcPr/>
          <w:p>
            <w:pPr>
              <w:pStyle w:val="Compact"/>
            </w:pPr>
            <w:r>
              <w:t xml:space="preserve">1.214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Eletrolisador 25 MW</w:t>
            </w:r>
          </w:p>
        </w:tc>
        <w:tc>
          <w:tcPr/>
          <w:p>
            <w:pPr>
              <w:pStyle w:val="Compact"/>
            </w:pPr>
            <w:r>
              <w:t xml:space="preserve">1.214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 despachos/ano</w:t>
            </w:r>
          </w:p>
        </w:tc>
        <w:tc>
          <w:tcPr/>
          <w:p>
            <w:pPr>
              <w:pStyle w:val="Compact"/>
            </w:pPr>
            <w:r>
              <w:t xml:space="preserve">1.227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150 despachos/ano</w:t>
            </w:r>
          </w:p>
        </w:tc>
        <w:tc>
          <w:tcPr/>
          <w:p>
            <w:pPr>
              <w:pStyle w:val="Compact"/>
            </w:pPr>
            <w:r>
              <w:t xml:space="preserve">1.222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Despacho na ponta da carga líquida</w:t>
            </w:r>
          </w:p>
        </w:tc>
        <w:tc>
          <w:tcPr/>
          <w:p>
            <w:pPr>
              <w:pStyle w:val="Compact"/>
            </w:pPr>
            <w:r>
              <w:t xml:space="preserve">1.214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Spread diário do PLD 25% ou 50% menor</w:t>
            </w:r>
          </w:p>
        </w:tc>
        <w:tc>
          <w:tcPr/>
          <w:p>
            <w:pPr>
              <w:pStyle w:val="Compact"/>
            </w:pPr>
            <w:r>
              <w:t xml:space="preserve">1.214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Correspondência diária ou semanal com a exportação</w:t>
            </w:r>
          </w:p>
        </w:tc>
        <w:tc>
          <w:tcPr/>
          <w:p>
            <w:pPr>
              <w:pStyle w:val="Compact"/>
            </w:pPr>
            <w:r>
              <w:t xml:space="preserve">1.214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Demanda de H₂ por faixas (1 ou 2 t/dia a R$ 35; excedente a R$ 16)</w:t>
            </w:r>
          </w:p>
        </w:tc>
        <w:tc>
          <w:tcPr/>
          <w:p>
            <w:pPr>
              <w:pStyle w:val="Compact"/>
            </w:pPr>
            <w:r>
              <w:t xml:space="preserve">1.214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Usina FV de 40 MWp</w:t>
            </w:r>
          </w:p>
        </w:tc>
        <w:tc>
          <w:tcPr/>
          <w:p>
            <w:pPr>
              <w:pStyle w:val="Compact"/>
            </w:pPr>
            <w:r>
              <w:t xml:space="preserve">1.237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Usina FV de 60 ou 75 MWp</w:t>
            </w:r>
          </w:p>
        </w:tc>
        <w:tc>
          <w:tcPr/>
          <w:p>
            <w:pPr>
              <w:pStyle w:val="Compact"/>
            </w:pPr>
            <w:r>
              <w:t xml:space="preserve">1.191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−2%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Degradação R$ 100/MWh</w:t>
            </w:r>
          </w:p>
        </w:tc>
        <w:tc>
          <w:tcPr/>
          <w:p>
            <w:pPr>
              <w:pStyle w:val="Compact"/>
            </w:pPr>
            <w:r>
              <w:t xml:space="preserve">1.214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Degradação R$ 200/MWh</w:t>
            </w:r>
          </w:p>
        </w:tc>
        <w:tc>
          <w:tcPr/>
          <w:p>
            <w:pPr>
              <w:pStyle w:val="Compact"/>
            </w:pPr>
            <w:r>
              <w:t xml:space="preserve">1.214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O lance mínimo é determinado pelas premissas de custo do BESS. A de maior efeito é a duração a que se refere o custo da EPE: se os R$ 5.500/kW corresponderem a um sistema de 3 h, e não de 4 h, a energia da bateria de 5 h fica mais cara e o lance sobe 21%. Seguem a taxa de desconto (−19% com a taxa após impostos, que ignora o imposto de renda), a regra de cobrança do uso da rede (+16% se o armazenamento pagar também a TUST de consumo e +9% sem compartilhar a conexão), o investimento de referência (±9%), o O&amp;M (±5% para ±1 ponto percentual) e o prazo de implantação (−5% sem juros durante a construção e +5% com dois anos de implantação). A parcela do custo proporcional à energia (±3%), a disponibilidade de 97% (+3%), a TUST regional (±1%) e o consumo auxiliar pesam pouco: com 2% da potência, ou sem a folga de recarga custeada pela CONCAP, o lance sobe 1%, de modo que a interpretação adotada para o consumo auxiliar (Seção 3.8.2) não é determinante. A taxa de desconto foi também variada de forma contínua: com o BESS dimensionado para o contrato, o lance mínimo é de R$ 838 mil/(MW·ano) a 6%, R$ 936 mil a 8%, R$ 1,041 milhão a 10%, R$ 1,160 milhão a 12,1% e R$ 1,271 milhão a 14%, isto é, cerca de R$ 54 mil, ou 5%, por ponto percentual. Um custo de capital menor, como o obtido com financiamento de longo prazo, reduziria o lance nessa proporção. O investimento de referência merece uma comparação com o mercado internacional. Os R$ 5.500/kW da EPE, tomados como custo de um sistema de 4 h, equivalem a cerca de US$ 254/kWh, acima das referências recentes: a pesquisa de custos da BloombergNEF de 2025 indica média mundial de US$ 110/kWh para sistemas completos de 4 h, de US$ 177/kWh na Europa e de US$ 219/kWh nos Estados Unidos (ENERGY-STORAGE.NEWS, 2025), e a Ember estima US$ 125/kWh para projetos de grande porte fora da China e dos Estados Unidos, incluídas a instalação e a conexão, em outubro de 2025 (EMBER, 2025). Com esses valores, convertidos pela PTAX e mantidas as demais premissas, o lance mínimo do BESS dimensionado para o contrato seria de R$ 501 mil a R$ 570 mil/(MW·ano) com os custos mundiais, de R$ 806 mil com o europeu e de R$ 998 mil com o norte-americano, contra R$ 1,160 milhão com o da EPE. A diferença decorre, em parte, dos tributos sobre a importação de equipamentos e da escala ainda pequena do mercado brasileiro, que o valor da EPE pode refletir; mas sua magnitude indica que o custo de referência é a premissa de maior efeito sobre o lance, superior à da duração de referência, e que, com custos próximos dos internacionais, o lance ficaria abaixo do preço obtido pelas termelétricas existentes no LRCAP de 2026. O compartilhamento da conexão é uma vantagem do arranjo híbrido: sem ele, a bateria pagaria a TUST sobre toda a sua potência, e o lance seria R$ 113 mil/(MW·ano) maior. Duas premissas de natureza tributária e contratual também pesam: o regime não cumulativo do PIS/Cofins, sem créditos, eleva o lance em 6%, e a falta de reajuste da receita fixa pelo IPCA, com inflação de 4% a.a., em 25%, pois a receita perderia valor real ao longo dos 15 anos; esta última é a premissa de maior efeito e deve ser confirmada no edital.</w:t>
      </w:r>
    </w:p>
    <w:p>
      <w:pPr>
        <w:pStyle w:val="BodyText"/>
      </w:pPr>
      <w:r>
        <w:t xml:space="preserve">O modelo supõe capacidade de energia constante nos 15 anos, mantida pela reposição de módulos incluída no O&amp;M fixo do BESS. Para verificar essa hipótese, a reposição foi modelada explicitamente (Seção 3.5): a capacidade cai por ciclagem, 20% ao longo de 5.000 ciclos completos (faixa de 4.000 a 6.000), e por calendário, 1% ao ano (faixa de 0,5% a 2%), e são comprados módulos, ao preço da parcela do investimento que escala com a energia (R$ 825/kWh), sempre que a capacidade cairia abaixo da necessária para entregar 4 h na potência do BESS (280,7 MWh para 60 MW). Com um despacho por dia, o BESS de referência (300 MWh) faz 342 ciclos equivalentes por ano e repõe 86 MWh em 15 anos, a partir do segundo ano; o custo anual equivalente é de R$ 4,3 milhões, 46% do O&amp;M fixo do BESS (32% a 73% nas faixas de vida e de calendário). No BESS dimensionado para o contrato (288 MWh), cuja folga inicial é de apenas 2,6%, a reposição começa no primeiro ano e custa 60% do O&amp;M. O O&amp;M de referência comporta, portanto, a reposição com um ciclo por dia, e somá-la ao O&amp;M, o que contaria a reposição duas vezes, elevaria o lance em no máximo 6%. Com dois despachos por dia, o máximo admitido pela Portaria, a reposição passa a 85% do O&amp;M do BESS de referência (71% a 113%) e a 102% no dimensionado, e já não caberia no O&amp;M; cobrando apenas a reposição acima da de um ciclo diário, o lance sobe 5%. A frequência do despacho, irrelevante para a operação (Seção 4.3.6), afeta assim o lance por meio do desgaste, e convém que o proponente a considere ao precificar o risco de um uso mais intenso que o diário.</w:t>
      </w:r>
    </w:p>
    <w:p>
      <w:pPr>
        <w:pStyle w:val="BodyText"/>
      </w:pPr>
      <w:r>
        <w:t xml:space="preserve">As hipóteses de operação quase não alteram o lance. Como o desgaste do despacho está no O&amp;M fixo, o custo de degradação por MWh deixa de afetá-lo, e a frequência do despacho só o altera por meio do consumo auxiliar: com 50 despachos por ano, a folga de recarga diminui e o lance sobe 1%. Com o contrato de 2 t/dia, a importação e os dois tamanhos de eletrolisador, o proponente oferta toda a potência, o módulo mercantil se anula e o lance é igual ao do caso central. A exceção é o contrato firme de 3 t/dia sem importação: o proponente oferta 57,5 MW (55 MW com o tanque de 10 t), e a bateria mercantil restante reduz o déficit de entrega e a multa correspondente, o que reduz o lance em 3% com o tanque de 2 t e em 5% com o de 10 t. A magnitude dessa redução depende da multa contratual, que faz cada kg não entregue custar R$ 70 ao empreendedor (Seção 3.4.5). À taxa central e com a receita reajustada pelo IPCA, o lance mínimo situa-se, assim, entre R$ 1,11 milhão e R$ 1,47 milhão/(MW·ano), e sua incerteza decorre principalmente da duração de referência do custo do BESS, da regra de cobrança do uso da rede, do investimento, do regime tributário, do O&amp;M e do prazo de implantação; sem reajuste, chegaria a R$ 1,52 milhão. Com a importação de energia, o lance não depende do custo adicional</w:t>
      </w:r>
      <w:r>
        <w:t xml:space="preserve"> </w:t>
      </w:r>
      <m:oMath>
        <m:sSup>
          <m:e>
            <m:r>
              <m:t>c</m:t>
            </m:r>
          </m:e>
          <m:sup>
            <m:r>
              <m:t>i</m:t>
            </m:r>
            <m:r>
              <m:t>m</m:t>
            </m:r>
            <m:r>
              <m:t>p</m:t>
            </m:r>
          </m:sup>
        </m:sSup>
      </m:oMath>
      <w:r>
        <w:t xml:space="preserve"> </w:t>
      </w:r>
      <w:r>
        <w:t xml:space="preserve">na faixa avaliada, pois o proponente oferta toda a potência e a rede supre o eletrolisador com ou sem o BESS.</w:t>
      </w:r>
    </w:p>
    <w:p>
      <w:pPr>
        <w:pStyle w:val="BodyText"/>
      </w:pPr>
      <w:r>
        <w:t xml:space="preserve">A análise de um parâmetro por vez não diz quão provável é cada valor do lance, e várias das premissas de maior efeito são regras ainda não confirmadas. Para levar essa incerteza ao resultado, as premissas de custo e de regra foram sorteadas por Monte Carlo, de forma independente, em 5.000 amostras: o investimento de referência (triangular entre R$ 5.000 e R$ 6.000/kW, moda em R$ 5.500), a parcela de energia (uniforme entre 45% e 75%), a taxa de desconto (triangular entre 8% e 14%, moda em 12,1%), o O&amp;M do BESS (uniforme entre 1,5% e 3,5%), a TUST (triangular na faixa regional), o consumo auxiliar (uniforme entre 0 e 2%), a disponibilidade (uniforme entre 97% e 100%) e o prazo de implantação (0, 1 ou 2 anos, com probabilidades de 25%, 50% e 25%). As regras não confirmadas foram tratadas como eventos binários, com probabilidades que são hipóteses do autor: referência da EPE para 3 h (50%), cobrança dupla da TUST (50%), consumo auxiliar fora da folga da CONCAP (50%), PIS/Cofins não cumulativo (25%), receita sem reajuste pelo IPCA (10%) e despacho de dois ciclos por dia (20%). A Figura 4.4 apresenta a distribuição resultante para o BESS dimensionado para o contrato, com 60 MW e 288 MWh.</w:t>
      </w:r>
    </w:p>
    <w:p>
      <w:pPr>
        <w:pStyle w:val="Legenda"/>
      </w:pPr>
      <w:r>
        <w:t xml:space="preserve">Figura 4.4 – Monte Carlo das premissas de custo e de regra: (a) distribuição do lance mínimo do BESS dimensionado para o contrato; (b) fração da variância do lance explicada por cada premissa isoladamente</w:t>
      </w:r>
    </w:p>
    <w:p>
      <w:pPr>
        <w:pStyle w:val="Figura"/>
      </w:pPr>
      <w:r>
        <w:drawing>
          <wp:inline>
            <wp:extent cx="5334000" cy="1969476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figuras/lance_monte_carlo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694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O lance mínimo tem mediana de R$ 1,44 milhão/(MW·ano) e intervalo de 80% (P10 a P90) de R$ 1,17 milhão a R$ 1,78 milhão; com o BESS de referência, de R$ 1,48 milhão (P10 a P90 de R$ 1,20 milhão a R$ 1,82 milhão). O valor determinístico das premissas centrais (R$ 1,18 milhão para o BESS dimensionado de 60 MW e R$ 1,21 milhão para o de referência) fica próximo do percentil 10: só 11% das amostras ficam abaixo dele, porque as regras não confirmadas só podem elevar o lance. Nenhuma amostra fica abaixo do preço das termelétricas existentes no LRCAP de 2026 (R$ 831 mil), e praticamente todas (99,9%) ficam abaixo do preço das termelétricas e hidrelétricas do leilão anterior (R$ 2,33 milhões). Três premissas explicam a maior parte da variância: a duração de referência do custo da EPE (30%), o reajuste da receita pelo IPCA (22%) e a cobrança dupla da TUST (17%), seguidas pela taxa de desconto (12%); o investimento de referência na faixa da EPE, o O&amp;M, a TUST regional, o consumo auxiliar e a disponibilidade explicam, cada um, menos de 5%. Confirmadas as três regras no sentido das premissas centrais (referência de 4 h, sem cobrança dupla e com reajuste), a mediana cai para R$ 1,20 milhão e o intervalo de 80% para R$ 1,06 milhão a R$ 1,33 milhão. O resultado reforça que a incerteza relevante para o lance é documental e regulatória, e não de preço ou de geração: três verificações nos documentos originais estreitariam o intervalo do lance à metade. As probabilidades atribuídas às regras são subjetivas, e o resultado deve ser lido como ilustração dessa sensibilidade, não como previsão.</w:t>
      </w:r>
    </w:p>
    <w:bookmarkEnd w:id="24"/>
    <w:bookmarkStart w:id="25" w:name="Xecea054f1f21e6d64ad55e12ed02f53637149e7"/>
    <w:p>
      <w:pPr>
        <w:pStyle w:val="Heading3"/>
      </w:pPr>
      <w:r>
        <w:t xml:space="preserve">4.2.4 Dimensionamento do BESS e bateria isolada</w:t>
      </w:r>
    </w:p>
    <w:p>
      <w:pPr>
        <w:pStyle w:val="FirstParagraph"/>
      </w:pPr>
      <w:r>
        <w:t xml:space="preserve">Os resultados anteriores consideram o BESS de 60 MW e 300 MWh do caso de referência. Para uma bateria construída para o leilão, porém, o tamanho pode ser escolhido junto com o lance (Seção 3.8.3). A Tabela 4.7 compara o lance mínimo do BESS de referência com o de baterias dimensionadas para o contrato, com potência igual à contratada e energia de 4,8 MWh por MW, no arranjo híbrido e numa bateria isolada.</w:t>
      </w:r>
    </w:p>
    <w:p>
      <w:pPr>
        <w:pStyle w:val="Legenda"/>
      </w:pPr>
      <w:r>
        <w:t xml:space="preserve">Tabela 4.7 – Lance mínimo por arranjo e dimensionamento do BESS, em R$ mil/(MW·ano), com investimento de referência central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1218"/>
        <w:gridCol w:w="1218"/>
        <w:gridCol w:w="1218"/>
        <w:gridCol w:w="12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Arranjo</w:t>
            </w:r>
          </w:p>
        </w:tc>
        <w:tc>
          <w:tcPr/>
          <w:p>
            <w:pPr>
              <w:pStyle w:val="Compact"/>
            </w:pPr>
            <w:r>
              <w:t xml:space="preserve">Potência (MW)</w:t>
            </w:r>
          </w:p>
        </w:tc>
        <w:tc>
          <w:tcPr/>
          <w:p>
            <w:pPr>
              <w:pStyle w:val="Compact"/>
            </w:pPr>
            <w:r>
              <w:t xml:space="preserve">Energia (MWh)</w:t>
            </w:r>
          </w:p>
        </w:tc>
        <w:tc>
          <w:tcPr/>
          <w:p>
            <w:pPr>
              <w:pStyle w:val="Compact"/>
            </w:pPr>
            <w:r>
              <w:t xml:space="preserve">Taxa de 12,1%</w:t>
            </w:r>
          </w:p>
        </w:tc>
        <w:tc>
          <w:tcPr/>
          <w:p>
            <w:pPr>
              <w:pStyle w:val="Compact"/>
            </w:pPr>
            <w:r>
              <w:t xml:space="preserve">Taxa de 8,0%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Híbrido, BESS de referência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300</w:t>
            </w:r>
          </w:p>
        </w:tc>
        <w:tc>
          <w:tcPr/>
          <w:p>
            <w:pPr>
              <w:pStyle w:val="Compact"/>
            </w:pPr>
            <w:r>
              <w:t xml:space="preserve">1.214</w:t>
            </w:r>
          </w:p>
        </w:tc>
        <w:tc>
          <w:tcPr/>
          <w:p>
            <w:pPr>
              <w:pStyle w:val="Compact"/>
            </w:pPr>
            <w:r>
              <w:t xml:space="preserve">984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Híbrido, dimensionado para o contrato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288</w:t>
            </w:r>
          </w:p>
        </w:tc>
        <w:tc>
          <w:tcPr/>
          <w:p>
            <w:pPr>
              <w:pStyle w:val="Compact"/>
            </w:pPr>
            <w:r>
              <w:t xml:space="preserve">1.182</w:t>
            </w:r>
          </w:p>
        </w:tc>
        <w:tc>
          <w:tcPr/>
          <w:p>
            <w:pPr>
              <w:pStyle w:val="Compact"/>
            </w:pPr>
            <w:r>
              <w:t xml:space="preserve">959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Híbrido, dimensionado para o contrato</w:t>
            </w:r>
          </w:p>
        </w:tc>
        <w:tc>
          <w:tcPr/>
          <w:p>
            <w:pPr>
              <w:pStyle w:val="Compact"/>
            </w:pPr>
            <w:r>
              <w:t xml:space="preserve">30 a 50</w:t>
            </w:r>
          </w:p>
        </w:tc>
        <w:tc>
          <w:tcPr/>
          <w:p>
            <w:pPr>
              <w:pStyle w:val="Compact"/>
            </w:pPr>
            <w:r>
              <w:t xml:space="preserve">4,8 por MW</w:t>
            </w:r>
          </w:p>
        </w:tc>
        <w:tc>
          <w:tcPr/>
          <w:p>
            <w:pPr>
              <w:pStyle w:val="Compact"/>
            </w:pPr>
            <w:r>
              <w:t xml:space="preserve">1.160</w:t>
            </w:r>
          </w:p>
        </w:tc>
        <w:tc>
          <w:tcPr/>
          <w:p>
            <w:pPr>
              <w:pStyle w:val="Compact"/>
            </w:pPr>
            <w:r>
              <w:t xml:space="preserve">936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Bateria isolada, dimensionada para o contrato</w:t>
            </w:r>
          </w:p>
        </w:tc>
        <w:tc>
          <w:tcPr/>
          <w:p>
            <w:pPr>
              <w:pStyle w:val="Compact"/>
            </w:pPr>
            <w:r>
              <w:t xml:space="preserve">30 a 60</w:t>
            </w:r>
          </w:p>
        </w:tc>
        <w:tc>
          <w:tcPr/>
          <w:p>
            <w:pPr>
              <w:pStyle w:val="Compact"/>
            </w:pPr>
            <w:r>
              <w:t xml:space="preserve">4,8 por MW</w:t>
            </w:r>
          </w:p>
        </w:tc>
        <w:tc>
          <w:tcPr/>
          <w:p>
            <w:pPr>
              <w:pStyle w:val="Compact"/>
            </w:pPr>
            <w:r>
              <w:t xml:space="preserve">1.296</w:t>
            </w:r>
          </w:p>
        </w:tc>
        <w:tc>
          <w:tcPr/>
          <w:p>
            <w:pPr>
              <w:pStyle w:val="Compact"/>
            </w:pPr>
            <w:r>
              <w:t xml:space="preserve">1.072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O cálculo da Seção 3.8.3 foi verificado com o modelo de operação: com o BESS dimensionado para o contrato de 30 e de 50 MW, o lucro operacional esperado, somada a degradação do módulo LRCAP, foi igual ao lucro sem BESS, como previsto.</w:t>
      </w:r>
    </w:p>
    <w:p>
      <w:pPr>
        <w:pStyle w:val="BodyText"/>
      </w:pPr>
      <w:r>
        <w:t xml:space="preserve">Três resultados se destacam. Primeiro, a bateria do leilão deve ser dimensionada para o contrato, pois o módulo mercantil não se paga no lance. No BESS de referência, ofertar 57,5 MW e manter 2,5 MW e 24 MWh para uso mercantil acrescenta R$ 2,0 milhões por ano ao lucro, mas essa capacidade custa R$ 4,9 milhões por ano entre capital, O&amp;M e uso da rede; já os 12 MWh além do necessário para 60 MW custam R$ 32 mil/(MW·ano) no lance. Segundo, com o BESS dimensionado para o contrato, o lance por MW não depende da potência até a potência da usina FV, porque a bateria cabe no montante de uso de injeção já contratado pela usina; acima de 50 MW, cada MW adicional acrescenta TUST, e o lance cresce até R$ 1,182 milhão/(MW·ano) com 60 MW. A oferta deixa de ser</w:t>
      </w:r>
      <w:r>
        <w:t xml:space="preserve"> </w:t>
      </w:r>
      <w:r>
        <w:t xml:space="preserve">“tudo ou nada”</w:t>
      </w:r>
      <w:r>
        <w:t xml:space="preserve">: o proponente ofertaria qualquer quantidade entre 30 e 50 MW a partir de R$ 1,160 milhão/(MW·ano) e quantidades maiores a preços crescentes.</w:t>
      </w:r>
    </w:p>
    <w:p>
      <w:pPr>
        <w:pStyle w:val="BodyText"/>
      </w:pPr>
      <w:r>
        <w:t xml:space="preserve">Terceiro, a bateria isolada, que paga a TUST sobre toda a sua potência, tem lance de R$ 1,296 milhão/(MW·ano), R$ 136 mil acima do híbrido: a TUST de R$ 131 mil/(MW·ano), acrescida do PIS/Cofins. Como, no lance, o uso mercantil é nulo nos dois arranjos, essa diferença decorre inteiramente do compartilhamento da conexão: no lance mínimo, o papel da usina FV com produção de hidrogênio é dividir o ponto de conexão, e não fornecer receitas à bateria. O compartilhamento da infraestrutura de conexão, que também reduziria o investimento do arranjo híbrido, não foi quantificado.</w:t>
      </w:r>
    </w:p>
    <w:p>
      <w:pPr>
        <w:pStyle w:val="BodyText"/>
      </w:pPr>
      <w:r>
        <w:t xml:space="preserve">Essa vantagem, porém, pressupõe que a usina FV com o eletrolisador seja construída. Sozinha, sem o BESS, essa usina exige R$ 412 milhões de investimento, com o tanque de hidrogênio, mais R$ 24 milhões de juros durante a construção, e gera fluxo anual de R$ 18,6 milhões, após O&amp;M, uso da rede e PIS/Cofins, o que resulta em VPL de −R$ 311 milhões à taxa de 12,1% (−R$ 269 milhões a 8%). Com o hidrogênio a R$ 35/kg, portanto, a usina que hospeda a bateria não se justificaria por si. O lance de R$ 1,160 milhão/(MW·ano) vale para um proponente cuja usina FV exista ou se justifique por outras razões — por exemplo, uma usina já em operação ou com a energia vendida em contrato —; para um proponente que constrói só a bateria, a referência é o lance da bateria isolada, de R$ 1,296 milhão/(MW·ano).</w:t>
      </w:r>
    </w:p>
    <w:bookmarkEnd w:id="25"/>
    <w:bookmarkEnd w:id="26"/>
    <w:bookmarkStart w:id="59" w:name="Xcde85c54f79c458b3aea976799b86356d7ba359"/>
    <w:p>
      <w:pPr>
        <w:pStyle w:val="Heading2"/>
      </w:pPr>
      <w:r>
        <w:t xml:space="preserve">4.3 BESS disponível: quantidade a contratar e operação</w:t>
      </w:r>
    </w:p>
    <w:p>
      <w:pPr>
        <w:pStyle w:val="FirstParagraph"/>
      </w:pPr>
      <w:r>
        <w:t xml:space="preserve">Esta seção supõe que o BESS está disponível — porque já existe ou porque foi construído com receita fixa acima do lance mínimo — e analisa quanto de sua potência contratar no leilão e como o sistema opera. Os resultados utilizam a receita fixa de referência de R$ 600 mil/(MW·ano), inferior ao lance mínimo da Seção 4.2, mas a curva de oferta fornece a decisão para qualquer receita; acima do lance mínimo, ela indica a oferta de 57,5 a 60 MW. A análise identifica os mecanismos que determinam o custo de oportunidade da contratação e a sensibilidade da decisão às hipóteses de operação e de mercado.</w:t>
      </w:r>
    </w:p>
    <w:p>
      <w:pPr>
        <w:pStyle w:val="BodyText"/>
      </w:pPr>
      <w:r>
        <w:t xml:space="preserve">A receita de referência, de R$ 600 mil/(MW·ano), é inferior ao lance mínimo de R$ 1,214 milhão calculado na Seção 4.2: com ela, um proponente não construiria o BESS. Os resultados desta seção valem, portanto, para quem já dispõe da bateria, e a curva de oferta da Subseção 4.3.3 fornece a decisão para qualquer receita. Para um BESS construído com receita igual ao lance mínimo, o proponente oferta toda a potência, e a operação é a da Tabela 4.8.</w:t>
      </w:r>
    </w:p>
    <w:p>
      <w:pPr>
        <w:pStyle w:val="Legenda"/>
      </w:pPr>
      <w:r>
        <w:t xml:space="preserve">Tabela 4.8 – Operação média nos cenários com a receita de referência e com a receita igual ao lance mínimo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94"/>
        <w:gridCol w:w="2262"/>
        <w:gridCol w:w="22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Indicador</w:t>
            </w:r>
          </w:p>
        </w:tc>
        <w:tc>
          <w:tcPr/>
          <w:p>
            <w:pPr>
              <w:pStyle w:val="Compact"/>
            </w:pPr>
            <w:r>
              <w:t xml:space="preserve">R$ 600 mil/(MW·ano): 55 MW</w:t>
            </w:r>
          </w:p>
        </w:tc>
        <w:tc>
          <w:tcPr/>
          <w:p>
            <w:pPr>
              <w:pStyle w:val="Compact"/>
            </w:pPr>
            <w:r>
              <w:t xml:space="preserve">R$ 1,214 mi/(MW·ano): 60 MW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Receita fixa (R$ mi/ano)</w:t>
            </w:r>
          </w:p>
        </w:tc>
        <w:tc>
          <w:tcPr/>
          <w:p>
            <w:pPr>
              <w:pStyle w:val="Compact"/>
            </w:pPr>
            <w:r>
              <w:t xml:space="preserve">33,0</w:t>
            </w:r>
          </w:p>
        </w:tc>
        <w:tc>
          <w:tcPr/>
          <w:p>
            <w:pPr>
              <w:pStyle w:val="Compact"/>
            </w:pPr>
            <w:r>
              <w:t xml:space="preserve">72,8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Lucro operacional sem a receita fixa (R$ mi/ano)</w:t>
            </w:r>
          </w:p>
        </w:tc>
        <w:tc>
          <w:tcPr/>
          <w:p>
            <w:pPr>
              <w:pStyle w:val="Compact"/>
            </w:pPr>
            <w:r>
              <w:t xml:space="preserve">35,1</w:t>
            </w:r>
          </w:p>
        </w:tc>
        <w:tc>
          <w:tcPr/>
          <w:p>
            <w:pPr>
              <w:pStyle w:val="Compact"/>
            </w:pPr>
            <w:r>
              <w:t xml:space="preserve">31,0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Lucro total (R$ mi/ano)</w:t>
            </w:r>
          </w:p>
        </w:tc>
        <w:tc>
          <w:tcPr/>
          <w:p>
            <w:pPr>
              <w:pStyle w:val="Compact"/>
            </w:pPr>
            <w:r>
              <w:t xml:space="preserve">68,1</w:t>
            </w:r>
          </w:p>
        </w:tc>
        <w:tc>
          <w:tcPr/>
          <w:p>
            <w:pPr>
              <w:pStyle w:val="Compact"/>
            </w:pPr>
            <w:r>
              <w:t xml:space="preserve">103,8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Receita de H₂ (R$ mi/ano)</w:t>
            </w:r>
          </w:p>
        </w:tc>
        <w:tc>
          <w:tcPr/>
          <w:p>
            <w:pPr>
              <w:pStyle w:val="Compact"/>
            </w:pPr>
            <w:r>
              <w:t xml:space="preserve">36,0</w:t>
            </w:r>
          </w:p>
        </w:tc>
        <w:tc>
          <w:tcPr/>
          <w:p>
            <w:pPr>
              <w:pStyle w:val="Compact"/>
            </w:pPr>
            <w:r>
              <w:t xml:space="preserve">30,7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Receita no MCP (R$ mi/ano)</w:t>
            </w:r>
          </w:p>
        </w:tc>
        <w:tc>
          <w:tcPr/>
          <w:p>
            <w:pPr>
              <w:pStyle w:val="Compact"/>
            </w:pPr>
            <w:r>
              <w:t xml:space="preserve">5,1</w:t>
            </w:r>
          </w:p>
        </w:tc>
        <w:tc>
          <w:tcPr/>
          <w:p>
            <w:pPr>
              <w:pStyle w:val="Compact"/>
            </w:pPr>
            <w:r>
              <w:t xml:space="preserve">6,1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H₂ vendido (t/ano)</w:t>
            </w:r>
          </w:p>
        </w:tc>
        <w:tc>
          <w:tcPr/>
          <w:p>
            <w:pPr>
              <w:pStyle w:val="Compact"/>
            </w:pPr>
            <w:r>
              <w:t xml:space="preserve">1.029</w:t>
            </w:r>
          </w:p>
        </w:tc>
        <w:tc>
          <w:tcPr/>
          <w:p>
            <w:pPr>
              <w:pStyle w:val="Compact"/>
            </w:pPr>
            <w:r>
              <w:t xml:space="preserve">878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Fator de capacidade do eletrolisador</w:t>
            </w:r>
          </w:p>
        </w:tc>
        <w:tc>
          <w:tcPr/>
          <w:p>
            <w:pPr>
              <w:pStyle w:val="Compact"/>
            </w:pPr>
            <w:r>
              <w:t xml:space="preserve">0,37</w:t>
            </w:r>
          </w:p>
        </w:tc>
        <w:tc>
          <w:tcPr/>
          <w:p>
            <w:pPr>
              <w:pStyle w:val="Compact"/>
            </w:pPr>
            <w:r>
              <w:t xml:space="preserve">0,32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Horas com o eletrolisador ligado</w:t>
            </w:r>
          </w:p>
        </w:tc>
        <w:tc>
          <w:tcPr/>
          <w:p>
            <w:pPr>
              <w:pStyle w:val="Compact"/>
            </w:pPr>
            <w:r>
              <w:t xml:space="preserve">7.459</w:t>
            </w:r>
          </w:p>
        </w:tc>
        <w:tc>
          <w:tcPr/>
          <w:p>
            <w:pPr>
              <w:pStyle w:val="Compact"/>
            </w:pPr>
            <w:r>
              <w:t xml:space="preserve">3.458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Partidas do eletrolisador por ano</w:t>
            </w:r>
          </w:p>
        </w:tc>
        <w:tc>
          <w:tcPr/>
          <w:p>
            <w:pPr>
              <w:pStyle w:val="Compact"/>
            </w:pPr>
            <w:r>
              <w:t xml:space="preserve">78</w:t>
            </w:r>
          </w:p>
        </w:tc>
        <w:tc>
          <w:tcPr/>
          <w:p>
            <w:pPr>
              <w:pStyle w:val="Compact"/>
            </w:pPr>
            <w:r>
              <w:t xml:space="preserve">358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Energia exportada (GWh/ano)</w:t>
            </w:r>
          </w:p>
        </w:tc>
        <w:tc>
          <w:tcPr/>
          <w:p>
            <w:pPr>
              <w:pStyle w:val="Compact"/>
            </w:pPr>
            <w:r>
              <w:t xml:space="preserve">19,4</w:t>
            </w:r>
          </w:p>
        </w:tc>
        <w:tc>
          <w:tcPr/>
          <w:p>
            <w:pPr>
              <w:pStyle w:val="Compact"/>
            </w:pPr>
            <w:r>
              <w:t xml:space="preserve">28,6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Descarga do módulo mercantil (GWh/ano)</w:t>
            </w:r>
          </w:p>
        </w:tc>
        <w:tc>
          <w:tcPr/>
          <w:p>
            <w:pPr>
              <w:pStyle w:val="Compact"/>
            </w:pPr>
            <w:r>
              <w:t xml:space="preserve">8,1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p>
      <w:pPr>
        <w:pStyle w:val="Fonte"/>
      </w:pPr>
      <w:r>
        <w:t xml:space="preserve">Fonte: elaborado pelo autor. Média dos cinco cenários; lucros sem O&amp;M fixo, uso da rede e tributos.</w:t>
      </w:r>
    </w:p>
    <w:p>
      <w:pPr>
        <w:pStyle w:val="BodyText"/>
      </w:pPr>
      <w:r>
        <w:t xml:space="preserve">Com a oferta de toda a potência, o módulo mercantil desaparece e, com ele, o suprimento noturno do eletrolisador: a produção de hidrogênio cai 15%, o eletrolisador passa a operar só nas horas de sol, com metade das horas de operação e uma partida por dia, e a energia que antes ia para o eletrolisador à noite passa a ser exportada ao MCP. O lucro operacional cai R$ 4,1 milhões por ano, mais do que compensado pelos R$ 39,8 milhões de receita fixa adicional. As conclusões sobre a operação desta seção referem-se, assim, ao BESS disponível; para o BESS a construir, a operação de referência é a de 60 MW.</w:t>
      </w:r>
    </w:p>
    <w:bookmarkStart w:id="30" w:name="X56b8d8d6087674c35fe11f865ddd535a2471b8b"/>
    <w:p>
      <w:pPr>
        <w:pStyle w:val="Heading3"/>
      </w:pPr>
      <w:r>
        <w:t xml:space="preserve">4.3.1 Decisão de contratação no modelo estocástico</w:t>
      </w:r>
    </w:p>
    <w:p>
      <w:pPr>
        <w:pStyle w:val="FirstParagraph"/>
      </w:pPr>
      <w:r>
        <w:t xml:space="preserve">A Figura 4.5(a) apresenta o lucro anual de cada cenário, o lucro esperado e o CVaR em função da potência contratada no LRCAP. Participar do leilão é vantajoso em todos os cenários: a contratação do mínimo regulatório de 30 MW eleva o lucro esperado de R$ 45,0 milhões para R$ 60,7 milhões por ano, um acréscimo de 35%. A partir desse ponto, o lucro esperado continua a crescer, porém a taxas decrescentes, até um máximo e decresce em seguida, quando a potência contratada passa a retirar do módulo mercantil a capacidade que abastece o eletrolisador durante a noite.</w:t>
      </w:r>
    </w:p>
    <w:p>
      <w:pPr>
        <w:pStyle w:val="Legenda"/>
      </w:pPr>
      <w:r>
        <w:t xml:space="preserve">Figura 4.5 – Lucro anual em função da potência contratada no LRCAP: (a) por cenário, lucro esperado e CVaR; (b) por cenário, para quatro decisões de contratação</w:t>
      </w:r>
    </w:p>
    <w:p>
      <w:pPr>
        <w:pStyle w:val="Figura"/>
      </w:pPr>
      <w:r>
        <w:drawing>
          <wp:inline>
            <wp:extent cx="5334000" cy="1962912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figuras/estocastico_unifei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629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O ótimo, assinalado na Figura 4.5, é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=</m:t>
        </m:r>
        <m:r>
          <m:t>54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MW, com lucro esperado de R$ 68,12 milhões por ano, obtido com tolerância de convergência de 0,01%. Com a tolerância de 0,1% usada inicialmente, o algoritmo de Benders havia encerrado em 53,4 MW, com lucro esperado apenas R$ 20 mil inferior. A diferença ilustra uma característica central do problema: a função de lucro é muito plana na vizinhança do ótimo, com variação inferior a 0,4% entre 50 e 56 MW. Do ponto de vista prático, a decisão relevante é contratar entre 50 e 55 MW; a localização exata do máximo é menos importante do que as hipóteses que o determinam, examinadas nas subseções seguintes.</w:t>
      </w:r>
    </w:p>
    <w:p>
      <w:pPr>
        <w:pStyle w:val="BodyText"/>
      </w:pPr>
      <w:r>
        <w:t xml:space="preserve">O lucro por cenário na potência ótima é apresentado na Tabela 4.9. O pior cenário é 2022, ano em que o PLD permaneceu próximo do piso regulatório, e o melhor, 2021, ano da crise hídrica. A diferença entre eles, de cerca de R$ 8 milhões por ano, é pequena diante do ganho proporcionado pela participação no leilão.</w:t>
      </w:r>
    </w:p>
    <w:p>
      <w:pPr>
        <w:pStyle w:val="Legenda"/>
      </w:pPr>
      <w:r>
        <w:t xml:space="preserve">Tabela 4.9 – Lucro anual por cenário na potência ótima (54,4 MW)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67"/>
        <w:gridCol w:w="950"/>
        <w:gridCol w:w="950"/>
        <w:gridCol w:w="950"/>
        <w:gridCol w:w="950"/>
        <w:gridCol w:w="950"/>
        <w:gridCol w:w="950"/>
        <w:gridCol w:w="9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Cenário</w:t>
            </w:r>
          </w:p>
        </w:tc>
        <w:tc>
          <w:tcPr/>
          <w:p>
            <w:pPr>
              <w:pStyle w:val="Compact"/>
            </w:pPr>
            <w:r>
              <w:t xml:space="preserve">2021</w:t>
            </w:r>
          </w:p>
        </w:tc>
        <w:tc>
          <w:tcPr/>
          <w:p>
            <w:pPr>
              <w:pStyle w:val="Compact"/>
            </w:pPr>
            <w:r>
              <w:t xml:space="preserve">2022</w:t>
            </w:r>
          </w:p>
        </w:tc>
        <w:tc>
          <w:tcPr/>
          <w:p>
            <w:pPr>
              <w:pStyle w:val="Compact"/>
            </w:pPr>
            <w:r>
              <w:t xml:space="preserve">2023</w:t>
            </w:r>
          </w:p>
        </w:tc>
        <w:tc>
          <w:tcPr/>
          <w:p>
            <w:pPr>
              <w:pStyle w:val="Compact"/>
            </w:pPr>
            <w:r>
              <w:t xml:space="preserve">2024</w:t>
            </w:r>
          </w:p>
        </w:tc>
        <w:tc>
          <w:tcPr/>
          <w:p>
            <w:pPr>
              <w:pStyle w:val="Compact"/>
            </w:pPr>
            <w:r>
              <w:t xml:space="preserve">2025</w:t>
            </w:r>
          </w:p>
        </w:tc>
        <w:tc>
          <w:tcPr/>
          <w:p>
            <w:pPr>
              <w:pStyle w:val="Compact"/>
            </w:pPr>
            <w:r>
              <w:t xml:space="preserve">Esperado</w:t>
            </w:r>
          </w:p>
        </w:tc>
        <w:tc>
          <w:tcPr/>
          <w:p>
            <w:pPr>
              <w:pStyle w:val="Compact"/>
            </w:pPr>
            <w:r>
              <w:t xml:space="preserve">CVaR (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Lucro (R$ milhões/ano)</w:t>
            </w:r>
          </w:p>
        </w:tc>
        <w:tc>
          <w:tcPr/>
          <w:p>
            <w:pPr>
              <w:pStyle w:val="Compact"/>
            </w:pPr>
            <w:r>
              <w:t xml:space="preserve">73,47</w:t>
            </w:r>
          </w:p>
        </w:tc>
        <w:tc>
          <w:tcPr/>
          <w:p>
            <w:pPr>
              <w:pStyle w:val="Compact"/>
            </w:pPr>
            <w:r>
              <w:t xml:space="preserve">65,38</w:t>
            </w:r>
          </w:p>
        </w:tc>
        <w:tc>
          <w:tcPr/>
          <w:p>
            <w:pPr>
              <w:pStyle w:val="Compact"/>
            </w:pPr>
            <w:r>
              <w:t xml:space="preserve">66,58</w:t>
            </w:r>
          </w:p>
        </w:tc>
        <w:tc>
          <w:tcPr/>
          <w:p>
            <w:pPr>
              <w:pStyle w:val="Compact"/>
            </w:pPr>
            <w:r>
              <w:t xml:space="preserve">67,40</w:t>
            </w:r>
          </w:p>
        </w:tc>
        <w:tc>
          <w:tcPr/>
          <w:p>
            <w:pPr>
              <w:pStyle w:val="Compact"/>
            </w:pPr>
            <w:r>
              <w:t xml:space="preserve">67,77</w:t>
            </w:r>
          </w:p>
        </w:tc>
        <w:tc>
          <w:tcPr/>
          <w:p>
            <w:pPr>
              <w:pStyle w:val="Compact"/>
            </w:pPr>
            <w:r>
              <w:t xml:space="preserve">68,12</w:t>
            </w:r>
          </w:p>
        </w:tc>
        <w:tc>
          <w:tcPr/>
          <w:p>
            <w:pPr>
              <w:pStyle w:val="Compact"/>
            </w:pPr>
            <w:r>
              <w:t xml:space="preserve">65,38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A fronteira entre risco e retorno foi obtida com pesos</w:t>
      </w:r>
      <w:r>
        <w:t xml:space="preserve"> </w:t>
      </w:r>
      <m:oMath>
        <m:r>
          <m:t>β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;</m:t>
        </m:r>
        <m:r>
          <m:t> </m:t>
        </m:r>
        <m:r>
          <m:t>0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;</m:t>
        </m:r>
        <m:r>
          <m:t> </m:t>
        </m:r>
        <m:r>
          <m:t>1</m:t>
        </m:r>
        <m:r>
          <m:rPr>
            <m:sty m:val="p"/>
          </m:rPr>
          <m:t>;</m:t>
        </m:r>
        <m:r>
          <m:t> </m:t>
        </m:r>
        <m:r>
          <m:t>2</m:t>
        </m:r>
        <m:r>
          <m:rPr>
            <m:sty m:val="p"/>
          </m:rPr>
          <m:t>;</m:t>
        </m:r>
        <m:r>
          <m:t> </m:t>
        </m:r>
        <m:r>
          <m:t>5</m:t>
        </m:r>
        <m:r>
          <m:rPr>
            <m:sty m:val="p"/>
          </m:rPr>
          <m:t>}</m:t>
        </m:r>
      </m:oMath>
      <w:r>
        <w:t xml:space="preserve"> </w:t>
      </w:r>
      <w:r>
        <w:t xml:space="preserve">para o CVaR e tolerância de 0,01%, com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final inferior a 0,01% em todos os casos. Com cinco cenários equiprováveis 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8</m:t>
        </m:r>
      </m:oMath>
      <w:r>
        <w:t xml:space="preserve">, o CVaR coincide com o lucro do pior ano, 2022. À medida que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aumenta, a potência ótima recua de 54,4 MW (</w:t>
      </w:r>
      <m:oMath>
        <m:r>
          <m:t>β</m:t>
        </m:r>
        <m:r>
          <m:rPr>
            <m:sty m:val="p"/>
          </m:rPr>
          <m:t>=</m:t>
        </m:r>
        <m:r>
          <m:t>0</m:t>
        </m:r>
      </m:oMath>
      <w:r>
        <w:t xml:space="preserve">) para 53,4 MW (</w:t>
      </w:r>
      <m:oMath>
        <m:r>
          <m:t>β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5</m:t>
        </m:r>
      </m:oMath>
      <w:r>
        <w:t xml:space="preserve"> </w:t>
      </w:r>
      <w:r>
        <w:t xml:space="preserve">e 1), 52,7 MW (</w:t>
      </w:r>
      <m:oMath>
        <m:r>
          <m:t>β</m:t>
        </m:r>
        <m:r>
          <m:rPr>
            <m:sty m:val="p"/>
          </m:rPr>
          <m:t>=</m:t>
        </m:r>
        <m:r>
          <m:t>2</m:t>
        </m:r>
      </m:oMath>
      <w:r>
        <w:t xml:space="preserve">) e 52,1 MW (</w:t>
      </w:r>
      <m:oMath>
        <m:r>
          <m:t>β</m:t>
        </m:r>
        <m:r>
          <m:rPr>
            <m:sty m:val="p"/>
          </m:rPr>
          <m:t>=</m:t>
        </m:r>
        <m:r>
          <m:t>5</m:t>
        </m:r>
      </m:oMath>
      <w:r>
        <w:t xml:space="preserve">). Entre os extremos, o lucro esperado cai R$ 81 mil por ano (0,12%) e o CVaR sobe R$ 85 mil (0,13%). Há, portanto, troca entre risco e retorno, mas ela é pequena. O CVaR desloca a decisão em direção ao ótimo do pior ano, de 51,5 MW (Tabela 4.10): com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5</m:t>
        </m:r>
      </m:oMath>
      <w:r>
        <w:t xml:space="preserve">, o lucro de 2022 fica a apenas R$ 1,4 mil do máximo possível naquele cenário. A troca é pequena porque a dispersão entre os cenários pouco depende da decisão de contratação, como se observa na Figura 4.5(b): as barras de cada decisão se deslocam praticamente em paralelo entre os anos. Com a tolerância de 0,1% usada inicialmente, a fronteira parecia degenerar em um único ponto (53,4 MW para todos os pesos), pois as diferenças entre os seus pontos, de até R$ 85 mil por ano, são da mesma ordem que essa tolerância, cerca de R$ 68 mil.</w:t>
      </w:r>
    </w:p>
    <w:p>
      <w:pPr>
        <w:pStyle w:val="BodyText"/>
      </w:pPr>
      <w:r>
        <w:t xml:space="preserve">A composição do lucro médio na potência de 55 MW, ponto da grade da Seção 3.8 mais próximo do ótimo, é: R$ 33,0 milhões de receita fixa do LRCAP, R$ 36,0 milhões de receita com hidrogênio e R$ 5,1 milhões no MCP, deduzidos R$ 4,4 milhões de degradação do BESS e R$ 1,6 milhão de custos variáveis de produção de hidrogênio. O eletrolisador consome 56,6 GWh por ano, cerca de três quartos da energia FV disponível, com fator de capacidade de 0,37, e produz 1.029 t de hidrogênio; os 19,4 GWh restantes são exportados ao MCP. Esse resultado antecipa a principal conclusão da Subseção 4.3.4: com o hidrogênio vendido sem limite de volume a R$ 35/kg, cada MWh destinado ao eletrolisador vale cerca de R$ 609, e o MCP tem papel secundário na operação.</w:t>
      </w:r>
    </w:p>
    <w:bookmarkEnd w:id="30"/>
    <w:bookmarkStart w:id="31" w:name="X803239abd151ab68ada138485f7ac164ea0f3ed"/>
    <w:p>
      <w:pPr>
        <w:pStyle w:val="Heading3"/>
      </w:pPr>
      <w:r>
        <w:t xml:space="preserve">4.3.2 Valor da solução estocástica e valor esperado da informação perfeita</w:t>
      </w:r>
    </w:p>
    <w:p>
      <w:pPr>
        <w:pStyle w:val="FirstParagraph"/>
      </w:pPr>
      <w:r>
        <w:t xml:space="preserve">A Tabela 4.10 compara a decisão estocástica (RP) com a decisão obtida no ano médio (EV) e com a solução espera-e-vê (WS), calculadas segundo a Seção 3.7.4.</w:t>
      </w:r>
    </w:p>
    <w:p>
      <w:pPr>
        <w:pStyle w:val="Legenda"/>
      </w:pPr>
      <w:r>
        <w:t xml:space="preserve">Tabela 4.10 – Decisões e lucro anual por cenário para o cálculo do VSS e do EVPI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49"/>
        <w:gridCol w:w="1677"/>
        <w:gridCol w:w="652"/>
        <w:gridCol w:w="652"/>
        <w:gridCol w:w="652"/>
        <w:gridCol w:w="652"/>
        <w:gridCol w:w="652"/>
        <w:gridCol w:w="9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Decisão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P</m:t>
                  </m:r>
                </m:e>
                <m:sup>
                  <m:r>
                    <m:t>c</m:t>
                  </m:r>
                  <m:r>
                    <m:t>a</m:t>
                  </m:r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(MW)</w:t>
            </w:r>
          </w:p>
        </w:tc>
        <w:tc>
          <w:tcPr/>
          <w:p>
            <w:pPr>
              <w:pStyle w:val="Compact"/>
            </w:pPr>
            <w:r>
              <w:t xml:space="preserve">2021</w:t>
            </w:r>
          </w:p>
        </w:tc>
        <w:tc>
          <w:tcPr/>
          <w:p>
            <w:pPr>
              <w:pStyle w:val="Compact"/>
            </w:pPr>
            <w:r>
              <w:t xml:space="preserve">2022</w:t>
            </w:r>
          </w:p>
        </w:tc>
        <w:tc>
          <w:tcPr/>
          <w:p>
            <w:pPr>
              <w:pStyle w:val="Compact"/>
            </w:pPr>
            <w:r>
              <w:t xml:space="preserve">2023</w:t>
            </w:r>
          </w:p>
        </w:tc>
        <w:tc>
          <w:tcPr/>
          <w:p>
            <w:pPr>
              <w:pStyle w:val="Compact"/>
            </w:pPr>
            <w:r>
              <w:t xml:space="preserve">2024</w:t>
            </w:r>
          </w:p>
        </w:tc>
        <w:tc>
          <w:tcPr/>
          <w:p>
            <w:pPr>
              <w:pStyle w:val="Compact"/>
            </w:pPr>
            <w:r>
              <w:t xml:space="preserve">2025</w:t>
            </w:r>
          </w:p>
        </w:tc>
        <w:tc>
          <w:tcPr/>
          <w:p>
            <w:pPr>
              <w:pStyle w:val="Compact"/>
            </w:pPr>
            <w:r>
              <w:t xml:space="preserve">Esperado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RP (estocástica)</w:t>
            </w:r>
          </w:p>
        </w:tc>
        <w:tc>
          <w:tcPr/>
          <w:p>
            <w:pPr>
              <w:pStyle w:val="Compact"/>
            </w:pPr>
            <w:r>
              <w:t xml:space="preserve">54,38</w:t>
            </w:r>
          </w:p>
        </w:tc>
        <w:tc>
          <w:tcPr/>
          <w:p>
            <w:pPr>
              <w:pStyle w:val="Compact"/>
            </w:pPr>
            <w:r>
              <w:t xml:space="preserve">73,47</w:t>
            </w:r>
          </w:p>
        </w:tc>
        <w:tc>
          <w:tcPr/>
          <w:p>
            <w:pPr>
              <w:pStyle w:val="Compact"/>
            </w:pPr>
            <w:r>
              <w:t xml:space="preserve">65,38</w:t>
            </w:r>
          </w:p>
        </w:tc>
        <w:tc>
          <w:tcPr/>
          <w:p>
            <w:pPr>
              <w:pStyle w:val="Compact"/>
            </w:pPr>
            <w:r>
              <w:t xml:space="preserve">66,58</w:t>
            </w:r>
          </w:p>
        </w:tc>
        <w:tc>
          <w:tcPr/>
          <w:p>
            <w:pPr>
              <w:pStyle w:val="Compact"/>
            </w:pPr>
            <w:r>
              <w:t xml:space="preserve">67,40</w:t>
            </w:r>
          </w:p>
        </w:tc>
        <w:tc>
          <w:tcPr/>
          <w:p>
            <w:pPr>
              <w:pStyle w:val="Compact"/>
            </w:pPr>
            <w:r>
              <w:t xml:space="preserve">67,77</w:t>
            </w:r>
          </w:p>
        </w:tc>
        <w:tc>
          <w:tcPr/>
          <w:p>
            <w:pPr>
              <w:pStyle w:val="Compact"/>
            </w:pPr>
            <w:r>
              <w:t xml:space="preserve">68,121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 (ano médio)</w:t>
            </w:r>
          </w:p>
        </w:tc>
        <w:tc>
          <w:tcPr/>
          <w:p>
            <w:pPr>
              <w:pStyle w:val="Compact"/>
            </w:pPr>
            <w:r>
              <w:t xml:space="preserve">54,34</w:t>
            </w:r>
          </w:p>
        </w:tc>
        <w:tc>
          <w:tcPr/>
          <w:p>
            <w:pPr>
              <w:pStyle w:val="Compact"/>
            </w:pPr>
            <w:r>
              <w:t xml:space="preserve">73,46</w:t>
            </w:r>
          </w:p>
        </w:tc>
        <w:tc>
          <w:tcPr/>
          <w:p>
            <w:pPr>
              <w:pStyle w:val="Compact"/>
            </w:pPr>
            <w:r>
              <w:t xml:space="preserve">65,39</w:t>
            </w:r>
          </w:p>
        </w:tc>
        <w:tc>
          <w:tcPr/>
          <w:p>
            <w:pPr>
              <w:pStyle w:val="Compact"/>
            </w:pPr>
            <w:r>
              <w:t xml:space="preserve">66,58</w:t>
            </w:r>
          </w:p>
        </w:tc>
        <w:tc>
          <w:tcPr/>
          <w:p>
            <w:pPr>
              <w:pStyle w:val="Compact"/>
            </w:pPr>
            <w:r>
              <w:t xml:space="preserve">67,40</w:t>
            </w:r>
          </w:p>
        </w:tc>
        <w:tc>
          <w:tcPr/>
          <w:p>
            <w:pPr>
              <w:pStyle w:val="Compact"/>
            </w:pPr>
            <w:r>
              <w:t xml:space="preserve">67,77</w:t>
            </w:r>
          </w:p>
        </w:tc>
        <w:tc>
          <w:tcPr/>
          <w:p>
            <w:pPr>
              <w:pStyle w:val="Compact"/>
            </w:pPr>
            <w:r>
              <w:t xml:space="preserve">68,121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WS (por cenário)</w:t>
            </w:r>
          </w:p>
        </w:tc>
        <w:tc>
          <w:tcPr/>
          <w:p>
            <w:pPr>
              <w:pStyle w:val="Compact"/>
            </w:pPr>
            <w:r>
              <w:t xml:space="preserve">60,0 / 51,5 / 51,0 / 52,7 / 54,6</w:t>
            </w:r>
          </w:p>
        </w:tc>
        <w:tc>
          <w:tcPr/>
          <w:p>
            <w:pPr>
              <w:pStyle w:val="Compact"/>
            </w:pPr>
            <w:r>
              <w:t xml:space="preserve">73,95</w:t>
            </w:r>
          </w:p>
        </w:tc>
        <w:tc>
          <w:tcPr/>
          <w:p>
            <w:pPr>
              <w:pStyle w:val="Compact"/>
            </w:pPr>
            <w:r>
              <w:t xml:space="preserve">65,47</w:t>
            </w:r>
          </w:p>
        </w:tc>
        <w:tc>
          <w:tcPr/>
          <w:p>
            <w:pPr>
              <w:pStyle w:val="Compact"/>
            </w:pPr>
            <w:r>
              <w:t xml:space="preserve">66,70</w:t>
            </w:r>
          </w:p>
        </w:tc>
        <w:tc>
          <w:tcPr/>
          <w:p>
            <w:pPr>
              <w:pStyle w:val="Compact"/>
            </w:pPr>
            <w:r>
              <w:t xml:space="preserve">67,44</w:t>
            </w:r>
          </w:p>
        </w:tc>
        <w:tc>
          <w:tcPr/>
          <w:p>
            <w:pPr>
              <w:pStyle w:val="Compact"/>
            </w:pPr>
            <w:r>
              <w:t xml:space="preserve">67,77</w:t>
            </w:r>
          </w:p>
        </w:tc>
        <w:tc>
          <w:tcPr/>
          <w:p>
            <w:pPr>
              <w:pStyle w:val="Compact"/>
            </w:pPr>
            <w:r>
              <w:t xml:space="preserve">68,266</w:t>
            </w:r>
          </w:p>
        </w:tc>
      </w:tr>
    </w:tbl>
    <w:p>
      <w:pPr>
        <w:pStyle w:val="Fonte"/>
      </w:pPr>
      <w:r>
        <w:t xml:space="preserve">Fonte: elaborado pelo autor. Lucros em R$ milhões/ano.</w:t>
      </w:r>
    </w:p>
    <w:p>
      <w:pPr>
        <w:pStyle w:val="BodyText"/>
      </w:pPr>
      <w:r>
        <w:t xml:space="preserve">O VSS resultou em cerca de R$ 300 por ano (menos de 0,001% do RP), valor inferior à tolerância de convergência e, portanto, indistinguível de zero. A decisão obtida no ano médio coincide, para efeitos práticos, com a decisão estocástica. O EVPI foi de R$ 145 mil por ano (0,21% do RP), com limite superior de R$ 161 mil. Quase toda a perda decorre do cenário de 2021, no qual a decisão ótima com informação perfeita seria contratar toda a potência do BESS (60 MW); nos demais anos, as decisões ótimas situam-se entre 51 e 55 MW.</w:t>
      </w:r>
    </w:p>
    <w:p>
      <w:pPr>
        <w:pStyle w:val="BodyText"/>
      </w:pPr>
      <w:r>
        <w:t xml:space="preserve">Dois aspectos merecem destaque. Primeiro, embora o ano médio conduza à decisão correta, ele superestima o lucro: o valor ótimo do problema EV foi de R$ 68,89 milhões, contra R$ 68,12 milhões do EEV. A diferença, de cerca de R$ 0,8 milhão por ano, resulta da suavização dos picos e vales de preço e de irradiância pela média hora a hora, e confirma que o ano médio não deve ser usado para estimar a receita do empreendimento. Segundo, os baixos valores de VSS e de EVPI indicam que a incerteza modelada — a variação de preço e de geração entre anos — tem pouco efeito sobre a decisão de contratação. As subseções seguintes mostram que outras hipóteses, não representadas nos cenários, têm efeito muito maior.</w:t>
      </w:r>
    </w:p>
    <w:p>
      <w:pPr>
        <w:pStyle w:val="BodyText"/>
      </w:pPr>
      <w:r>
        <w:rPr>
          <w:b/>
          <w:bCs/>
        </w:rPr>
        <w:t xml:space="preserve">Avaliação fora da amostra.</w:t>
      </w:r>
      <w:r>
        <w:t xml:space="preserve"> </w:t>
      </w:r>
      <w:r>
        <w:t xml:space="preserve">Como os cinco anos são uma amostra pequena e o VSS e o EVPI são medidos dentro dela, a decisão foi avaliada também fora da amostra: para cada ano, a potência foi escolhida, na grade de 2,5 MW da curva de oferta, com os outros quatro anos, e avaliada no ano deixado de fora. Com a receita de referência, a decisão só muda quando 2021 é retirado da amostra, caindo de 55 para 52,5 MW; nesse caso, contratar 52,5 MW em 2021 custaria R$ 572 mil a menos do que a decisão com os cinco anos, pois, na crise hídrica, o ótimo daquele ano é contratar toda a potência. Nos demais anos, a decisão com quatro anos coincide com a de cinco. A perda média fora da amostra, em relação à decisão ótima de cada ano, é de R$ 259 mil por ano (0,38% do lucro esperado), da mesma ordem do EVPI. Com receitas de R$ 330 mil, R$ 830 mil e R$ 1,0 milhão/(MW·ano), a perda média fica entre R$ 36 mil e R$ 342 mil por ano, e a decisão varia no máximo um passo da grade. A decisão é, portanto, robusta à composição da amostra; o ano que mais a influencia é 2021, o de preços mais altos.</w:t>
      </w:r>
    </w:p>
    <w:p>
      <w:pPr>
        <w:pStyle w:val="BodyText"/>
      </w:pPr>
      <w:r>
        <w:rPr>
          <w:b/>
          <w:bCs/>
        </w:rPr>
        <w:t xml:space="preserve">Previsão perfeita dentro do ano.</w:t>
      </w:r>
      <w:r>
        <w:t xml:space="preserve"> </w:t>
      </w:r>
      <w:r>
        <w:t xml:space="preserve">O VSS e o EVPI tratam apenas da variação entre anos; dentro de cada cenário, a operação é otimizada com conhecimento antecipado das séries (Seção 3.10, hipótese a). Para medir esse viés, o ano de 2025 foi operado também em horizonte rolante: a cada hora, o MILP da Seção 3.4 é resolvido numa janela de 48 h, com o PLD conhecido (publicado na véspera), o perfil de despacho do ONS, a geração FV da hora medida e, nas horas seguintes, prevista por persistência (a da mesma hora do dia anterior), a partir dos estados reais do módulo mercantil, do tanque e do eletrolisador; apenas a decisão da primeira hora é executada, e o lucro é apurado com os dados reais. Com a geração FV conhecida, a janela de 48 h reproduz o lucro de previsão perfeita (diferença de +0,02%, dentro da precisão da decomposição), de modo que o viés decorre apenas do erro de previsão. Com a previsão por persistência, o lucro operacional cai R$ 13 mil por ano (−0,03%) com 30 MW contratados, R$ 188 mil (−0,54%) com 55 MW e nada com 60 MW. O viés é nulo com 60 MW porque, sem módulo mercantil, não há energia a deslocar no tempo e a operação independe da previsão; é pequeno com 30 MW porque o módulo mercantil, de 156 MWh, tem folga para absorver o erro; e é maior com 55 MW, quando o módulo, de 36 MWh, é escasso e cada erro de previsão desloca energia que o eletrolisador usaria à noite. Com previsão imperfeita, o eletrolisador parte 163 vezes no ano com 55 MW, contra 75 na previsão perfeita, menos de uma vez a cada dois dias.</w:t>
      </w:r>
    </w:p>
    <w:p>
      <w:pPr>
        <w:pStyle w:val="BodyText"/>
      </w:pPr>
      <w:r>
        <w:rPr>
          <w:b/>
          <w:bCs/>
        </w:rPr>
        <w:t xml:space="preserve">Pareamento entre irradiância e preço.</w:t>
      </w:r>
      <w:r>
        <w:t xml:space="preserve"> </w:t>
      </w:r>
      <w:r>
        <w:t xml:space="preserve">Os cenários de 2024 e 2025 usam a irradiância de 2023, pois a base SARAH-3 termina nesse ano (Seção 3.10, hipótese i). Para medir o efeito dessa escolha, a curva de oferta de cada um desses cenários foi recalculada isoladamente com a irradiância de 2021, de 2022 e de 2023, transposta para o calendário do ano do PLD. Com o PLD de 2025, a potência ótima com a receita de referência é de 55 MW com as três irradiâncias, a receita mínima de entrada fica em R$ 77 mil/(MW·ano) e o lucro operacional sem o leilão varia entre R$ 43,3 milhões e R$ 45,3 milhões por ano (±2%), conforme a irradiância do ano; o custo marginal do último MW varia entre R$ 822 mil e R$ 878 mil/MW. Com o PLD de 2024, a potência ótima é de 52,5 MW com a irradiância de 2022 e de 2023 e de 50 MW com a de 2021, e a receita mínima de entrada fica em R$ 84 mil a R$ 85 mil/(MW·ano). O ano de irradiância altera o nível do lucro, mas pouco a decisão, que depende mais do ano de preços (55 MW em 2025 contra 50 a 52,5 MW em 2024) do que da irradiância associada a ele.</w:t>
      </w:r>
    </w:p>
    <w:p>
      <w:pPr>
        <w:pStyle w:val="BodyText"/>
      </w:pPr>
      <w:r>
        <w:t xml:space="preserve">Três consequências decorrem desse resultado. Primeiro, o viés é muito menor do que o de 18% obtido por García-Miguel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(2024) para uma usina eólica com eletrolisador e bateria no mercado do dia seguinte dinamarquês, em que o erro de previsão do vento é maior e os desvios são penalizados; no MCP, o PLD é conhecido na véspera e não há penalidade por desvio. Segundo, ao superestimar o lucro com 55 MW e não com 60 MW, a previsão perfeita superestima o custo de oportunidade dos últimos 5 MW em cerca de R$ 38 mil/(MW·ano), cerca de 5% do valor da Figura 4.6(b), sem alterar a potência ótima para a receita de referência. Terceiro, o lance mínimo de um BESS a construir não é afetado, pois, no lance, a potência ofertada é a do BESS inteiro, em que o viés é nulo. A persistência é a previsão mais simples possível; com uma previsão melhor, o viés seria ainda menor.</w:t>
      </w:r>
    </w:p>
    <w:bookmarkEnd w:id="31"/>
    <w:bookmarkStart w:id="35" w:name="curva-de-oferta"/>
    <w:p>
      <w:pPr>
        <w:pStyle w:val="Heading3"/>
      </w:pPr>
      <w:r>
        <w:t xml:space="preserve">4.3.3 Curva de oferta</w:t>
      </w:r>
    </w:p>
    <w:p>
      <w:pPr>
        <w:pStyle w:val="FirstParagraph"/>
      </w:pPr>
      <w:r>
        <w:t xml:space="preserve">A Figura 4.6 apresenta o resultado do procedimento da Seção 3.8 para os cinco casos de contrato de hidrogênio e de importação do Quadro 3.2. No caso de referência (curvas em azul), o custo de oportunidade marginal cresce de forma acentuada com a potência contratada: até 37,5 MW, cada MW adicional custa menos de R$ 100 mil/(MW·ano), enquanto os últimos 5 MW custam entre R$ 760 mil e R$ 900 mil/(MW·ano) (Figura 4.6(b)). A receita mínima de entrada é de R$ 76 mil/(MW·ano), dos quais R$ 73 mil correspondem à degradação do módulo LRCAP (R$ 50/MWh sobre cerca de 1.461 MWh/MW injetados por ano) e apenas R$ 3 mil à perda de lucro no MCP e no hidrogênio, e a receita necessária para ofertar toda a potência do BESS é de R$ 895 mil/(MW·ano).</w:t>
      </w:r>
    </w:p>
    <w:p>
      <w:pPr>
        <w:pStyle w:val="Legenda"/>
      </w:pPr>
      <w:r>
        <w:t xml:space="preserve">Figura 4.6 – Curva de oferta no LRCAP para os casos de contrato de hidrogênio e de importação: (a) perda de lucro operacional esperado; (b) custo de oportunidade marginal; (c) potência ótima em função da receita fixa</w:t>
      </w:r>
    </w:p>
    <w:p>
      <w:pPr>
        <w:pStyle w:val="Figura"/>
      </w:pPr>
      <w:r>
        <w:drawing>
          <wp:inline>
            <wp:extent cx="5334000" cy="163576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figuras/curva_oferta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35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O formato da curva decorre da divisão do BESS entre os módulos. Até cerca de 37,5 MW contratados, o módulo mercantil retém energia e potência suficientes para deslocar a geração FV excedente para o eletrolisador nas horas noturnas, e a contratação adicional retira apenas a capacidade de menor valor. A partir desse ponto, cada MW contratado reduz em 4,8 MWh a energia e em 1 MW a potência do módulo mercantil, que se aproxima de zero quando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tende a 60 MW, e o eletrolisador deixa de operar à noite. A Figura 4.6(c) traduz essa relação em uma curva de oferta escalonada: para receitas entre R$ 80 mil e R$ 300 mil/(MW·ano), o empreendedor ofertaria entre 35 e 42,5 MW; para R$ 600 mil, 55 MW; e somente acima de cerca de R$ 900 mil ofertaria toda a capacidade.</w:t>
      </w:r>
    </w:p>
    <w:p>
      <w:pPr>
        <w:pStyle w:val="BodyText"/>
      </w:pPr>
      <w:r>
        <w:t xml:space="preserve">Esse resultado tem duas implicações para o proponente. A decisão de participar do leilão é robusta, pois o limiar de entrada é baixo nos cinco casos da Figura 4.6 (R$ 76 mil a R$ 97 mil/(MW·ano)) e não supera R$ 300 mil/(MW·ano) em nenhum dos casos avaliados, muito inferior a qualquer receita fixa plausível para sistemas de armazenamento. Por outro lado, a quantidade a ofertar acima de cerca de 40 MW é sensível tanto ao preço quanto às hipóteses sobre o hidrogênio, como mostra a subseção seguinte.</w:t>
      </w:r>
    </w:p>
    <w:bookmarkEnd w:id="35"/>
    <w:bookmarkStart w:id="36" w:name="Xecdbf8e9b0c8cf7cf478028b36aa5fe92ae5811"/>
    <w:p>
      <w:pPr>
        <w:pStyle w:val="Heading3"/>
      </w:pPr>
      <w:r>
        <w:t xml:space="preserve">4.3.4 Contrato de hidrogênio e importação de energia</w:t>
      </w:r>
    </w:p>
    <w:p>
      <w:pPr>
        <w:pStyle w:val="FirstParagraph"/>
      </w:pPr>
      <w:r>
        <w:t xml:space="preserve">A Tabela 4.11 resume, para a receita fixa de referência, a potência ótima, o lucro e a operação média de cada caso.</w:t>
      </w:r>
    </w:p>
    <w:p>
      <w:pPr>
        <w:pStyle w:val="Legenda"/>
      </w:pPr>
      <w:r>
        <w:t xml:space="preserve">Tabela 4.11 – Potência ótima, lucro e operação média nos casos de contrato de hidrogênio e de importação (receita fixa de R$ 600 mil/(MW·ano))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1056"/>
        <w:gridCol w:w="1056"/>
        <w:gridCol w:w="1056"/>
        <w:gridCol w:w="1056"/>
        <w:gridCol w:w="105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Indicador</w:t>
            </w:r>
          </w:p>
        </w:tc>
        <w:tc>
          <w:tcPr/>
          <w:p>
            <w:pPr>
              <w:pStyle w:val="Compact"/>
            </w:pPr>
            <w:r>
              <w:t xml:space="preserve">Referência</w:t>
            </w:r>
          </w:p>
        </w:tc>
        <w:tc>
          <w:tcPr/>
          <w:p>
            <w:pPr>
              <w:pStyle w:val="Compact"/>
            </w:pPr>
            <w:r>
              <w:t xml:space="preserve">Contrato 2 t/dia</w:t>
            </w:r>
          </w:p>
        </w:tc>
        <w:tc>
          <w:tcPr/>
          <w:p>
            <w:pPr>
              <w:pStyle w:val="Compact"/>
            </w:pPr>
            <w:r>
              <w:t xml:space="preserve">Contrato 3 t/dia</w:t>
            </w:r>
          </w:p>
        </w:tc>
        <w:tc>
          <w:tcPr/>
          <w:p>
            <w:pPr>
              <w:pStyle w:val="Compact"/>
            </w:pPr>
            <w:r>
              <w:t xml:space="preserve">Importação</w:t>
            </w:r>
          </w:p>
        </w:tc>
        <w:tc>
          <w:tcPr/>
          <w:p>
            <w:pPr>
              <w:pStyle w:val="Compact"/>
            </w:pPr>
            <w:r>
              <w:t xml:space="preserve">Importação e contrato 3 t/dia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Potência ótima (MW)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Lucro esperado (R$ mi/ano)</w:t>
            </w:r>
          </w:p>
        </w:tc>
        <w:tc>
          <w:tcPr/>
          <w:p>
            <w:pPr>
              <w:pStyle w:val="Compact"/>
            </w:pPr>
            <w:r>
              <w:t xml:space="preserve">68,1</w:t>
            </w:r>
          </w:p>
        </w:tc>
        <w:tc>
          <w:tcPr/>
          <w:p>
            <w:pPr>
              <w:pStyle w:val="Compact"/>
            </w:pPr>
            <w:r>
              <w:t xml:space="preserve">61,8</w:t>
            </w:r>
          </w:p>
        </w:tc>
        <w:tc>
          <w:tcPr/>
          <w:p>
            <w:pPr>
              <w:pStyle w:val="Compact"/>
            </w:pPr>
            <w:r>
              <w:t xml:space="preserve">65,5</w:t>
            </w:r>
          </w:p>
        </w:tc>
        <w:tc>
          <w:tcPr/>
          <w:p>
            <w:pPr>
              <w:pStyle w:val="Compact"/>
            </w:pPr>
            <w:r>
              <w:t xml:space="preserve">88,5</w:t>
            </w:r>
          </w:p>
        </w:tc>
        <w:tc>
          <w:tcPr/>
          <w:p>
            <w:pPr>
              <w:pStyle w:val="Compact"/>
            </w:pPr>
            <w:r>
              <w:t xml:space="preserve">68,9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Receita no MCP (R$ mi/ano)</w:t>
            </w:r>
          </w:p>
        </w:tc>
        <w:tc>
          <w:tcPr/>
          <w:p>
            <w:pPr>
              <w:pStyle w:val="Compact"/>
            </w:pPr>
            <w:r>
              <w:t xml:space="preserve">5,1</w:t>
            </w:r>
          </w:p>
        </w:tc>
        <w:tc>
          <w:tcPr/>
          <w:p>
            <w:pPr>
              <w:pStyle w:val="Compact"/>
            </w:pPr>
            <w:r>
              <w:t xml:space="preserve">6,2</w:t>
            </w:r>
          </w:p>
        </w:tc>
        <w:tc>
          <w:tcPr/>
          <w:p>
            <w:pPr>
              <w:pStyle w:val="Compact"/>
            </w:pPr>
            <w:r>
              <w:t xml:space="preserve">3,0</w:t>
            </w:r>
          </w:p>
        </w:tc>
        <w:tc>
          <w:tcPr/>
          <w:p>
            <w:pPr>
              <w:pStyle w:val="Compact"/>
            </w:pPr>
            <w:r>
              <w:t xml:space="preserve">6,1</w:t>
            </w:r>
          </w:p>
        </w:tc>
        <w:tc>
          <w:tcPr/>
          <w:p>
            <w:pPr>
              <w:pStyle w:val="Compact"/>
            </w:pPr>
            <w:r>
              <w:t xml:space="preserve">4,0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Receita de H₂ (R$ mi/ano)</w:t>
            </w:r>
          </w:p>
        </w:tc>
        <w:tc>
          <w:tcPr/>
          <w:p>
            <w:pPr>
              <w:pStyle w:val="Compact"/>
            </w:pPr>
            <w:r>
              <w:t xml:space="preserve">36,0</w:t>
            </w:r>
          </w:p>
        </w:tc>
        <w:tc>
          <w:tcPr/>
          <w:p>
            <w:pPr>
              <w:pStyle w:val="Compact"/>
            </w:pPr>
            <w:r>
              <w:t xml:space="preserve">25,4</w:t>
            </w:r>
          </w:p>
        </w:tc>
        <w:tc>
          <w:tcPr/>
          <w:p>
            <w:pPr>
              <w:pStyle w:val="Compact"/>
            </w:pPr>
            <w:r>
              <w:t xml:space="preserve">37,0</w:t>
            </w:r>
          </w:p>
        </w:tc>
        <w:tc>
          <w:tcPr/>
          <w:p>
            <w:pPr>
              <w:pStyle w:val="Compact"/>
            </w:pPr>
            <w:r>
              <w:t xml:space="preserve">89,4</w:t>
            </w:r>
          </w:p>
        </w:tc>
        <w:tc>
          <w:tcPr/>
          <w:p>
            <w:pPr>
              <w:pStyle w:val="Compact"/>
            </w:pPr>
            <w:r>
              <w:t xml:space="preserve">38,3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 de importação (R$ mi/ano)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34,7</w:t>
            </w:r>
          </w:p>
        </w:tc>
        <w:tc>
          <w:tcPr/>
          <w:p>
            <w:pPr>
              <w:pStyle w:val="Compact"/>
            </w:pPr>
            <w:r>
              <w:t xml:space="preserve">3,4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Energia exportada (GWh/ano)</w:t>
            </w:r>
          </w:p>
        </w:tc>
        <w:tc>
          <w:tcPr/>
          <w:p>
            <w:pPr>
              <w:pStyle w:val="Compact"/>
            </w:pPr>
            <w:r>
              <w:t xml:space="preserve">19,4</w:t>
            </w:r>
          </w:p>
        </w:tc>
        <w:tc>
          <w:tcPr/>
          <w:p>
            <w:pPr>
              <w:pStyle w:val="Compact"/>
            </w:pPr>
            <w:r>
              <w:t xml:space="preserve">36,9</w:t>
            </w:r>
          </w:p>
        </w:tc>
        <w:tc>
          <w:tcPr/>
          <w:p>
            <w:pPr>
              <w:pStyle w:val="Compact"/>
            </w:pPr>
            <w:r>
              <w:t xml:space="preserve">18,1</w:t>
            </w:r>
          </w:p>
        </w:tc>
        <w:tc>
          <w:tcPr/>
          <w:p>
            <w:pPr>
              <w:pStyle w:val="Compact"/>
            </w:pPr>
            <w:r>
              <w:t xml:space="preserve">28,2</w:t>
            </w:r>
          </w:p>
        </w:tc>
        <w:tc>
          <w:tcPr/>
          <w:p>
            <w:pPr>
              <w:pStyle w:val="Compact"/>
            </w:pPr>
            <w:r>
              <w:t xml:space="preserve">25,4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Energia importada (GWh/ano)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91,8</w:t>
            </w:r>
          </w:p>
        </w:tc>
        <w:tc>
          <w:tcPr/>
          <w:p>
            <w:pPr>
              <w:pStyle w:val="Compact"/>
            </w:pPr>
            <w:r>
              <w:t xml:space="preserve">8,7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H₂ vendido (t/ano)</w:t>
            </w:r>
          </w:p>
        </w:tc>
        <w:tc>
          <w:tcPr/>
          <w:p>
            <w:pPr>
              <w:pStyle w:val="Compact"/>
            </w:pPr>
            <w:r>
              <w:t xml:space="preserve">1.029</w:t>
            </w:r>
          </w:p>
        </w:tc>
        <w:tc>
          <w:tcPr/>
          <w:p>
            <w:pPr>
              <w:pStyle w:val="Compact"/>
            </w:pPr>
            <w:r>
              <w:t xml:space="preserve">727</w:t>
            </w:r>
          </w:p>
        </w:tc>
        <w:tc>
          <w:tcPr/>
          <w:p>
            <w:pPr>
              <w:pStyle w:val="Compact"/>
            </w:pPr>
            <w:r>
              <w:t xml:space="preserve">1.056</w:t>
            </w:r>
          </w:p>
        </w:tc>
        <w:tc>
          <w:tcPr/>
          <w:p>
            <w:pPr>
              <w:pStyle w:val="Compact"/>
            </w:pPr>
            <w:r>
              <w:t xml:space="preserve">2.553</w:t>
            </w:r>
          </w:p>
        </w:tc>
        <w:tc>
          <w:tcPr/>
          <w:p>
            <w:pPr>
              <w:pStyle w:val="Compact"/>
            </w:pPr>
            <w:r>
              <w:t xml:space="preserve">1.096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Déficit contratual de H₂ (t/ano)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3,6</w:t>
            </w:r>
          </w:p>
        </w:tc>
        <w:tc>
          <w:tcPr/>
          <w:p>
            <w:pPr>
              <w:pStyle w:val="Compact"/>
            </w:pPr>
            <w:r>
              <w:t xml:space="preserve">39,6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Fator de capacidade do eletrolisador</w:t>
            </w:r>
          </w:p>
        </w:tc>
        <w:tc>
          <w:tcPr/>
          <w:p>
            <w:pPr>
              <w:pStyle w:val="Compact"/>
            </w:pPr>
            <w:r>
              <w:t xml:space="preserve">0,37</w:t>
            </w:r>
          </w:p>
        </w:tc>
        <w:tc>
          <w:tcPr/>
          <w:p>
            <w:pPr>
              <w:pStyle w:val="Compact"/>
            </w:pPr>
            <w:r>
              <w:t xml:space="preserve">0,26</w:t>
            </w:r>
          </w:p>
        </w:tc>
        <w:tc>
          <w:tcPr/>
          <w:p>
            <w:pPr>
              <w:pStyle w:val="Compact"/>
            </w:pPr>
            <w:r>
              <w:t xml:space="preserve">0,38</w:t>
            </w:r>
          </w:p>
        </w:tc>
        <w:tc>
          <w:tcPr/>
          <w:p>
            <w:pPr>
              <w:pStyle w:val="Compact"/>
            </w:pPr>
            <w:r>
              <w:t xml:space="preserve">0,92</w:t>
            </w:r>
          </w:p>
        </w:tc>
        <w:tc>
          <w:tcPr/>
          <w:p>
            <w:pPr>
              <w:pStyle w:val="Compact"/>
            </w:pPr>
            <w:r>
              <w:t xml:space="preserve">0,39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Receita mínima de entrada (R$ mil/MW·ano)</w:t>
            </w:r>
          </w:p>
        </w:tc>
        <w:tc>
          <w:tcPr/>
          <w:p>
            <w:pPr>
              <w:pStyle w:val="Compact"/>
            </w:pPr>
            <w:r>
              <w:t xml:space="preserve">76</w:t>
            </w:r>
          </w:p>
        </w:tc>
        <w:tc>
          <w:tcPr/>
          <w:p>
            <w:pPr>
              <w:pStyle w:val="Compact"/>
            </w:pPr>
            <w:r>
              <w:t xml:space="preserve">84</w:t>
            </w:r>
          </w:p>
        </w:tc>
        <w:tc>
          <w:tcPr/>
          <w:p>
            <w:pPr>
              <w:pStyle w:val="Compact"/>
            </w:pPr>
            <w:r>
              <w:t xml:space="preserve">95</w:t>
            </w:r>
          </w:p>
        </w:tc>
        <w:tc>
          <w:tcPr/>
          <w:p>
            <w:pPr>
              <w:pStyle w:val="Compact"/>
            </w:pPr>
            <w:r>
              <w:t xml:space="preserve">97</w:t>
            </w:r>
          </w:p>
        </w:tc>
        <w:tc>
          <w:tcPr/>
          <w:p>
            <w:pPr>
              <w:pStyle w:val="Compact"/>
            </w:pPr>
            <w:r>
              <w:t xml:space="preserve">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 marginal do último MW (R$ mil/MW·ano)</w:t>
            </w:r>
          </w:p>
        </w:tc>
        <w:tc>
          <w:tcPr/>
          <w:p>
            <w:pPr>
              <w:pStyle w:val="Compact"/>
            </w:pPr>
            <w:r>
              <w:t xml:space="preserve">895</w:t>
            </w:r>
          </w:p>
        </w:tc>
        <w:tc>
          <w:tcPr/>
          <w:p>
            <w:pPr>
              <w:pStyle w:val="Compact"/>
            </w:pPr>
            <w:r>
              <w:t xml:space="preserve">172</w:t>
            </w:r>
          </w:p>
        </w:tc>
        <w:tc>
          <w:tcPr/>
          <w:p>
            <w:pPr>
              <w:pStyle w:val="Compact"/>
            </w:pPr>
            <w:r>
              <w:t xml:space="preserve">2.037</w:t>
            </w:r>
          </w:p>
        </w:tc>
        <w:tc>
          <w:tcPr/>
          <w:p>
            <w:pPr>
              <w:pStyle w:val="Compact"/>
            </w:pPr>
            <w:r>
              <w:t xml:space="preserve">474</w:t>
            </w:r>
          </w:p>
        </w:tc>
        <w:tc>
          <w:tcPr/>
          <w:p>
            <w:pPr>
              <w:pStyle w:val="Compact"/>
            </w:pPr>
            <w:r>
              <w:t xml:space="preserve">406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rPr>
          <w:b/>
          <w:bCs/>
        </w:rPr>
        <w:t xml:space="preserve">Contrato de 2 t/dia.</w:t>
      </w:r>
      <w:r>
        <w:t xml:space="preserve"> </w:t>
      </w:r>
      <w:r>
        <w:t xml:space="preserve">Com um volume diário inferior à produção do caso de referência, o hidrogênio excedente não encontra comprador e a energia correspondente é exportada ao MCP, cuja energia praticamente dobra (de 19,4 para 36,9 GWh). O módulo mercantil perde a função de abastecer o eletrolisador à noite, e seu valor passa a ser o da arbitragem de preços no MCP, muito inferior. O custo de oportunidade do último MW cai de R$ 895 mil para R$ 172 mil/(MW·ano), e o ótimo passa a ser contratar toda a potência. O lucro diminui R$ 6,3 milhões por ano em relação ao caso de referência, refletindo a menor venda de hidrogênio.</w:t>
      </w:r>
    </w:p>
    <w:p>
      <w:pPr>
        <w:pStyle w:val="BodyText"/>
      </w:pPr>
      <w:r>
        <w:rPr>
          <w:b/>
          <w:bCs/>
        </w:rPr>
        <w:t xml:space="preserve">Contrato de 3 t/dia.</w:t>
      </w:r>
      <w:r>
        <w:t xml:space="preserve"> </w:t>
      </w:r>
      <w:r>
        <w:t xml:space="preserve">Com um volume próximo da produção média do caso de referência, porém firme em todos os dias, o BESS passa a garantir a entrega nos dias e nas horas de menor geração. Mesmo assim, há um déficit de 40 t por ano (3,6% do volume contratado), concentrado nos períodos de menor irradiância, e a multa correspondente, de R$ 1,4 milhão por ano, responde por cerca de metade da redução do lucro em relação ao caso de referência (R$ 2,6 milhões por ano). A curva de custo de oportunidade torna-se ainda mais íngreme no extremo superior: o último MW custa cerca de R$ 2,0 milhões/(MW·ano) — entre R$ 1,9 milhão e R$ 2,1 milhões, considerados os limites inferior e superior do lucro (Subseção 4.1) —, pois sua contratação eliminaria a potência do módulo mercantil e aumentaria o déficit, cujo custo efetivo é de R$ 70 por kg — R$ 35 de multa e R$ 35 de venda perdida (Seção 3.4.5). A potência ótima permanece em 55 MW. Esses valores do extremo superior da curva dependem, portanto, diretamente da multa adotada, que torna o contrato praticamente firme.</w:t>
      </w:r>
    </w:p>
    <w:p>
      <w:pPr>
        <w:pStyle w:val="BodyText"/>
      </w:pPr>
      <w:r>
        <w:rPr>
          <w:b/>
          <w:bCs/>
        </w:rPr>
        <w:t xml:space="preserve">Importação de energia.</w:t>
      </w:r>
      <w:r>
        <w:t xml:space="preserve"> </w:t>
      </w:r>
      <w:r>
        <w:t xml:space="preserve">Quando a importação é permitida, o eletrolisador é suprido pela rede nas horas de PLD baixo, inclusive à noite, e seu fator de capacidade sobe de 0,37 para 0,92. A produção de hidrogênio mais que dobra e o lucro aumenta R$ 20,4 milhões por ano, mesmo com o custo adicional de R$ 250/MWh sobre a energia importada. Como a rede substitui o BESS no suprimento noturno do eletrolisador, o módulo mercantil perde valor e o ótimo passa a ser contratar toda a potência. Cerca de 65% da energia consumida pelo eletrolisador provém da rede nesse caso, o que torna a qualificação do hidrogênio dependente do critério regulatório adotado — de intensidade de emissões ou de origem física da energia (Subseção 4.3.5).</w:t>
      </w:r>
    </w:p>
    <w:p>
      <w:pPr>
        <w:pStyle w:val="BodyText"/>
      </w:pPr>
      <w:r>
        <w:rPr>
          <w:b/>
          <w:bCs/>
        </w:rPr>
        <w:t xml:space="preserve">Custo adicional da energia importada.</w:t>
      </w:r>
      <w:r>
        <w:t xml:space="preserve"> </w:t>
      </w:r>
      <w:r>
        <w:t xml:space="preserve">O custo adicional de R$ 250/MWh é uma hipótese agregada de uso da rede, encargos e tributos (Seção 3.8.4). Com R$ 100/MWh, o lucro esperado na receita de referência sobe para R$ 102,6 milhões por ano, 51% acima do caso sem importação, com 95 GWh importados e fator de capacidade de 0,93; com R$ 400/MWh, cai para R$ 76,6 milhões, ainda 12% acima, com 68 GWh importados, fator de capacidade de 0,79 e ótimo em 57,5 MW. A conclusão de que a importação eleva o lucro e reduz o papel do BESS no suprimento do eletrolisador é, portanto, robusta nessa faixa, mas a magnitude do ganho depende fortemente do custo da energia importada, que deve ser apurado para o ponto de conexão e o enquadramento tarifário do empreendimento. Só com R$ 100/MWh, investimento baixo e taxa de 8% o empreendimento teria VPL positivo (Tabela 4.4).</w:t>
      </w:r>
    </w:p>
    <w:p>
      <w:pPr>
        <w:pStyle w:val="BodyText"/>
      </w:pPr>
      <w:r>
        <w:rPr>
          <w:b/>
          <w:bCs/>
        </w:rPr>
        <w:t xml:space="preserve">Importação com contrato de 3 t/dia.</w:t>
      </w:r>
      <w:r>
        <w:t xml:space="preserve"> </w:t>
      </w:r>
      <w:r>
        <w:t xml:space="preserve">A combinação das duas hipóteses mostra que o ganho da importação depende da existência de demanda: com o volume limitado pelo contrato, a importação restringe-se a 8,7 GWh por ano, usados para eliminar o déficit de entrega, e o lucro supera o do caso de referência em apenas R$ 0,8 milhão por ano.</w:t>
      </w:r>
    </w:p>
    <w:p>
      <w:pPr>
        <w:pStyle w:val="BodyText"/>
      </w:pPr>
      <w:r>
        <w:rPr>
          <w:b/>
          <w:bCs/>
        </w:rPr>
        <w:t xml:space="preserve">Curva de demanda por faixas.</w:t>
      </w:r>
      <w:r>
        <w:t xml:space="preserve"> </w:t>
      </w:r>
      <w:r>
        <w:t xml:space="preserve">A demanda ilimitada a R$ 35/kg do caso de referência foi substituída por uma curva em duas faixas diárias (Seção 3.4): até 2 t/dia (ou 1 t/dia) a R$ 35/kg e o excedente a R$ 16/kg, paridade com o hidrogênio de origem fóssil. Com 2 t/dia a preço cheio, o lucro operacional sem o leilão cai de R$ 45,0 milhões para R$ 35,1 milhões por ano, o hidrogênio vendido, de 1.029 t para 834 t, a um preço médio de R$ 31,65/kg, e a exportação ao MCP sobe de 19 GWh para 31 GWh; com 1 t/dia, o lucro sem o leilão é de R$ 28,8 milhões, com 780 t a R$ 24,44/kg. O excedente continua a ser produzido, pois R$ 16/kg ainda valoriza a energia a cerca de R$ 290/MWh, acima do PLD médio, mas a energia que o módulo mercantil desloca para o eletrolisador passa a valer muito menos. O custo de oportunidade de contratar o BESS cai em consequência: a receita a partir da qual se oferta toda a potência, de 60 MW, passa de R$ 895 mil para R$ 318 mil (2 t/dia) e R$ 302 mil/(MW·ano) (1 t/dia), e, com a receita de referência, a potência ótima sobe de 55 MW para 60 MW; a receita mínima de entrada passa de R$ 76 mil para R$ 82 mil/(MW·ano). O lucro esperado com a receita de referência cai 7% e 16%. A hipótese de demanda ilimitada é, portanto, conservadora para a curva de oferta, que subestima a potência a ofertar por um BESS existente quando a demanda de hidrogênio é limitada, e otimista para a viabilidade do empreendimento: o lance mínimo não se altera (R$ 1,214 milhão/(MW·ano)), mas o preço de equilíbrio do hidrogênio, calculado como acréscimo uniforme ao preço médio realizado, sobe de R$ 116/kg para R$ 137/kg (2 t/dia) e R$ 145/kg (1 t/dia).</w:t>
      </w:r>
    </w:p>
    <w:p>
      <w:pPr>
        <w:pStyle w:val="BodyText"/>
      </w:pPr>
      <w:r>
        <w:t xml:space="preserve">Esses resultados indicam que a troca entre o LRCAP e o MCP só se manifesta plenamente quando a demanda de hidrogênio é limitada. Sem limite de volume, a troca relevante é entre o LRCAP e a produção de hidrogênio, mediada pelo módulo mercantil do BESS; a regra de suprimento do eletrolisador é, entre as hipóteses avaliadas, a de maior efeito sobre o lucro.</w:t>
      </w:r>
    </w:p>
    <w:bookmarkEnd w:id="36"/>
    <w:bookmarkStart w:id="40" w:name="limite-de-emissões-do-hidrogênio"/>
    <w:p>
      <w:pPr>
        <w:pStyle w:val="Heading3"/>
      </w:pPr>
      <w:r>
        <w:t xml:space="preserve">4.3.5 Limite de emissões do hidrogênio</w:t>
      </w:r>
    </w:p>
    <w:p>
      <w:pPr>
        <w:pStyle w:val="FirstParagraph"/>
      </w:pPr>
      <w:r>
        <w:t xml:space="preserve">Os casos com importação supõem que o eletrolisador possa ser suprido pela rede sem restrição. Esta subseção avalia o critério intermediário da Seção 3.4.5, em que a energia da rede supre o eletrolisador desde que a intensidade de emissões semanal do hidrogênio não exceda o limite</w:t>
      </w:r>
      <w:r>
        <w:t xml:space="preserve"> </w:t>
      </w:r>
      <m:oMath>
        <m:r>
          <m:t>L</m:t>
        </m:r>
      </m:oMath>
      <w:r>
        <w:t xml:space="preserve">: 7 kgCO₂/kgH₂, valor inicial do marco legal (BRASIL, 2024), ou 3,4 kgCO₂/kgH₂, próximo do limiar de emissões europeu, sem as exigências de adicionalidade e de correlação temporal e geográfica do Regulamento Delegado (UE) 2023/1184 (Seção 3.4.5). Para cada limite, consideram-se o fator de emissão horário médio do SIN e o fator marginal de uma termelétrica a gás natural (Seção 3.5). A Figura 4.7 e a Tabela 4.12 comparam esses casos com o caso de referência, em que a importação é vedada, e com o de importação livre.</w:t>
      </w:r>
    </w:p>
    <w:p>
      <w:pPr>
        <w:pStyle w:val="Legenda"/>
      </w:pPr>
      <w:r>
        <w:t xml:space="preserve">Figura 4.7 – Curva de oferta no LRCAP com limite de emissões do hidrogênio: (a) perda de lucro operacional esperado; (b) custo de oportunidade marginal; (c) potência ótima em função da receita fixa</w:t>
      </w:r>
    </w:p>
    <w:p>
      <w:pPr>
        <w:pStyle w:val="Figura"/>
      </w:pPr>
      <w:r>
        <w:drawing>
          <wp:inline>
            <wp:extent cx="5334000" cy="163576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figuras/curva_oferta_emissoes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35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Legenda"/>
      </w:pPr>
      <w:r>
        <w:t xml:space="preserve">Tabela 4.12 – Potência ótima, lucro e operação média nos casos de limite de emissões do hidrogênio (receita fixa de R$ 600 mil/(MW·ano))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42"/>
        <w:gridCol w:w="1029"/>
        <w:gridCol w:w="1029"/>
        <w:gridCol w:w="1029"/>
        <w:gridCol w:w="1029"/>
        <w:gridCol w:w="1029"/>
        <w:gridCol w:w="102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Indicador</w:t>
            </w:r>
          </w:p>
        </w:tc>
        <w:tc>
          <w:tcPr/>
          <w:p>
            <w:pPr>
              <w:pStyle w:val="Compact"/>
            </w:pPr>
            <w:r>
              <w:t xml:space="preserve">Referência</w:t>
            </w:r>
          </w:p>
        </w:tc>
        <w:tc>
          <w:tcPr/>
          <w:p>
            <w:pPr>
              <w:pStyle w:val="Compact"/>
            </w:pPr>
            <m:oMath>
              <m:r>
                <m:t>L</m:t>
              </m:r>
            </m:oMath>
            <w:r>
              <w:t xml:space="preserve"> </w:t>
            </w:r>
            <w:r>
              <w:t xml:space="preserve">= 3,4, marginal</w:t>
            </w:r>
          </w:p>
        </w:tc>
        <w:tc>
          <w:tcPr/>
          <w:p>
            <w:pPr>
              <w:pStyle w:val="Compact"/>
            </w:pPr>
            <m:oMath>
              <m:r>
                <m:t>L</m:t>
              </m:r>
            </m:oMath>
            <w:r>
              <w:t xml:space="preserve"> </w:t>
            </w:r>
            <w:r>
              <w:t xml:space="preserve">= 7, marginal</w:t>
            </w:r>
          </w:p>
        </w:tc>
        <w:tc>
          <w:tcPr/>
          <w:p>
            <w:pPr>
              <w:pStyle w:val="Compact"/>
            </w:pPr>
            <m:oMath>
              <m:r>
                <m:t>L</m:t>
              </m:r>
            </m:oMath>
            <w:r>
              <w:t xml:space="preserve"> </w:t>
            </w:r>
            <w:r>
              <w:t xml:space="preserve">= 3,4, médio</w:t>
            </w:r>
          </w:p>
        </w:tc>
        <w:tc>
          <w:tcPr/>
          <w:p>
            <w:pPr>
              <w:pStyle w:val="Compact"/>
            </w:pPr>
            <m:oMath>
              <m:r>
                <m:t>L</m:t>
              </m:r>
            </m:oMath>
            <w:r>
              <w:t xml:space="preserve"> </w:t>
            </w:r>
            <w:r>
              <w:t xml:space="preserve">= 7, médio</w:t>
            </w:r>
          </w:p>
        </w:tc>
        <w:tc>
          <w:tcPr/>
          <w:p>
            <w:pPr>
              <w:pStyle w:val="Compact"/>
            </w:pPr>
            <w:r>
              <w:t xml:space="preserve">Importação livre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Potência ótima (MW)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52,5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Lucro esperado (R$ mi/ano)</w:t>
            </w:r>
          </w:p>
        </w:tc>
        <w:tc>
          <w:tcPr/>
          <w:p>
            <w:pPr>
              <w:pStyle w:val="Compact"/>
            </w:pPr>
            <w:r>
              <w:t xml:space="preserve">68,1</w:t>
            </w:r>
          </w:p>
        </w:tc>
        <w:tc>
          <w:tcPr/>
          <w:p>
            <w:pPr>
              <w:pStyle w:val="Compact"/>
            </w:pPr>
            <w:r>
              <w:t xml:space="preserve">70,5</w:t>
            </w:r>
          </w:p>
        </w:tc>
        <w:tc>
          <w:tcPr/>
          <w:p>
            <w:pPr>
              <w:pStyle w:val="Compact"/>
            </w:pPr>
            <w:r>
              <w:t xml:space="preserve">73,8</w:t>
            </w:r>
          </w:p>
        </w:tc>
        <w:tc>
          <w:tcPr/>
          <w:p>
            <w:pPr>
              <w:pStyle w:val="Compact"/>
            </w:pPr>
            <w:r>
              <w:t xml:space="preserve">88,3</w:t>
            </w:r>
          </w:p>
        </w:tc>
        <w:tc>
          <w:tcPr/>
          <w:p>
            <w:pPr>
              <w:pStyle w:val="Compact"/>
            </w:pPr>
            <w:r>
              <w:t xml:space="preserve">88,5</w:t>
            </w:r>
          </w:p>
        </w:tc>
        <w:tc>
          <w:tcPr/>
          <w:p>
            <w:pPr>
              <w:pStyle w:val="Compact"/>
            </w:pPr>
            <w:r>
              <w:t xml:space="preserve">88,5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Receita de H₂ (R$ mi/ano)</w:t>
            </w:r>
          </w:p>
        </w:tc>
        <w:tc>
          <w:tcPr/>
          <w:p>
            <w:pPr>
              <w:pStyle w:val="Compact"/>
            </w:pPr>
            <w:r>
              <w:t xml:space="preserve">36,0</w:t>
            </w:r>
          </w:p>
        </w:tc>
        <w:tc>
          <w:tcPr/>
          <w:p>
            <w:pPr>
              <w:pStyle w:val="Compact"/>
            </w:pPr>
            <w:r>
              <w:t xml:space="preserve">43,8</w:t>
            </w:r>
          </w:p>
        </w:tc>
        <w:tc>
          <w:tcPr/>
          <w:p>
            <w:pPr>
              <w:pStyle w:val="Compact"/>
            </w:pPr>
            <w:r>
              <w:t xml:space="preserve">54,8</w:t>
            </w:r>
          </w:p>
        </w:tc>
        <w:tc>
          <w:tcPr/>
          <w:p>
            <w:pPr>
              <w:pStyle w:val="Compact"/>
            </w:pPr>
            <w:r>
              <w:t xml:space="preserve">88,3</w:t>
            </w:r>
          </w:p>
        </w:tc>
        <w:tc>
          <w:tcPr/>
          <w:p>
            <w:pPr>
              <w:pStyle w:val="Compact"/>
            </w:pPr>
            <w:r>
              <w:t xml:space="preserve">89,4</w:t>
            </w:r>
          </w:p>
        </w:tc>
        <w:tc>
          <w:tcPr/>
          <w:p>
            <w:pPr>
              <w:pStyle w:val="Compact"/>
            </w:pPr>
            <w:r>
              <w:t xml:space="preserve">89,4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 de importação (R$ mi/ano)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3,3</w:t>
            </w:r>
          </w:p>
        </w:tc>
        <w:tc>
          <w:tcPr/>
          <w:p>
            <w:pPr>
              <w:pStyle w:val="Compact"/>
            </w:pPr>
            <w:r>
              <w:t xml:space="preserve">8,8</w:t>
            </w:r>
          </w:p>
        </w:tc>
        <w:tc>
          <w:tcPr/>
          <w:p>
            <w:pPr>
              <w:pStyle w:val="Compact"/>
            </w:pPr>
            <w:r>
              <w:t xml:space="preserve">33,9</w:t>
            </w:r>
          </w:p>
        </w:tc>
        <w:tc>
          <w:tcPr/>
          <w:p>
            <w:pPr>
              <w:pStyle w:val="Compact"/>
            </w:pPr>
            <w:r>
              <w:t xml:space="preserve">34,7</w:t>
            </w:r>
          </w:p>
        </w:tc>
        <w:tc>
          <w:tcPr/>
          <w:p>
            <w:pPr>
              <w:pStyle w:val="Compact"/>
            </w:pPr>
            <w:r>
              <w:t xml:space="preserve">34,7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Energia importada (GWh/ano)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9,4</w:t>
            </w:r>
          </w:p>
        </w:tc>
        <w:tc>
          <w:tcPr/>
          <w:p>
            <w:pPr>
              <w:pStyle w:val="Compact"/>
            </w:pPr>
            <w:r>
              <w:t xml:space="preserve">24,2</w:t>
            </w:r>
          </w:p>
        </w:tc>
        <w:tc>
          <w:tcPr/>
          <w:p>
            <w:pPr>
              <w:pStyle w:val="Compact"/>
            </w:pPr>
            <w:r>
              <w:t xml:space="preserve">90,2</w:t>
            </w:r>
          </w:p>
        </w:tc>
        <w:tc>
          <w:tcPr/>
          <w:p>
            <w:pPr>
              <w:pStyle w:val="Compact"/>
            </w:pPr>
            <w:r>
              <w:t xml:space="preserve">91,8</w:t>
            </w:r>
          </w:p>
        </w:tc>
        <w:tc>
          <w:tcPr/>
          <w:p>
            <w:pPr>
              <w:pStyle w:val="Compact"/>
            </w:pPr>
            <w:r>
              <w:t xml:space="preserve">91,8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Parcela da rede na energia do eletrolisador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14%</w:t>
            </w:r>
          </w:p>
        </w:tc>
        <w:tc>
          <w:tcPr/>
          <w:p>
            <w:pPr>
              <w:pStyle w:val="Compact"/>
            </w:pPr>
            <w:r>
              <w:t xml:space="preserve">28%</w:t>
            </w:r>
          </w:p>
        </w:tc>
        <w:tc>
          <w:tcPr/>
          <w:p>
            <w:pPr>
              <w:pStyle w:val="Compact"/>
            </w:pPr>
            <w:r>
              <w:t xml:space="preserve">65%</w:t>
            </w:r>
          </w:p>
        </w:tc>
        <w:tc>
          <w:tcPr/>
          <w:p>
            <w:pPr>
              <w:pStyle w:val="Compact"/>
            </w:pPr>
            <w:r>
              <w:t xml:space="preserve">65%</w:t>
            </w:r>
          </w:p>
        </w:tc>
        <w:tc>
          <w:tcPr/>
          <w:p>
            <w:pPr>
              <w:pStyle w:val="Compact"/>
            </w:pPr>
            <w:r>
              <w:t xml:space="preserve">65%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H₂ vendido (t/ano)</w:t>
            </w:r>
          </w:p>
        </w:tc>
        <w:tc>
          <w:tcPr/>
          <w:p>
            <w:pPr>
              <w:pStyle w:val="Compact"/>
            </w:pPr>
            <w:r>
              <w:t xml:space="preserve">1.029</w:t>
            </w:r>
          </w:p>
        </w:tc>
        <w:tc>
          <w:tcPr/>
          <w:p>
            <w:pPr>
              <w:pStyle w:val="Compact"/>
            </w:pPr>
            <w:r>
              <w:t xml:space="preserve">1.251</w:t>
            </w:r>
          </w:p>
        </w:tc>
        <w:tc>
          <w:tcPr/>
          <w:p>
            <w:pPr>
              <w:pStyle w:val="Compact"/>
            </w:pPr>
            <w:r>
              <w:t xml:space="preserve">1.567</w:t>
            </w:r>
          </w:p>
        </w:tc>
        <w:tc>
          <w:tcPr/>
          <w:p>
            <w:pPr>
              <w:pStyle w:val="Compact"/>
            </w:pPr>
            <w:r>
              <w:t xml:space="preserve">2.524</w:t>
            </w:r>
          </w:p>
        </w:tc>
        <w:tc>
          <w:tcPr/>
          <w:p>
            <w:pPr>
              <w:pStyle w:val="Compact"/>
            </w:pPr>
            <w:r>
              <w:t xml:space="preserve">2.553</w:t>
            </w:r>
          </w:p>
        </w:tc>
        <w:tc>
          <w:tcPr/>
          <w:p>
            <w:pPr>
              <w:pStyle w:val="Compact"/>
            </w:pPr>
            <w:r>
              <w:t xml:space="preserve">2.553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Fator de capacidade do eletrolisador</w:t>
            </w:r>
          </w:p>
        </w:tc>
        <w:tc>
          <w:tcPr/>
          <w:p>
            <w:pPr>
              <w:pStyle w:val="Compact"/>
            </w:pPr>
            <w:r>
              <w:t xml:space="preserve">0,37</w:t>
            </w:r>
          </w:p>
        </w:tc>
        <w:tc>
          <w:tcPr/>
          <w:p>
            <w:pPr>
              <w:pStyle w:val="Compact"/>
            </w:pPr>
            <w:r>
              <w:t xml:space="preserve">0,45</w:t>
            </w:r>
          </w:p>
        </w:tc>
        <w:tc>
          <w:tcPr/>
          <w:p>
            <w:pPr>
              <w:pStyle w:val="Compact"/>
            </w:pPr>
            <w:r>
              <w:t xml:space="preserve">0,56</w:t>
            </w:r>
          </w:p>
        </w:tc>
        <w:tc>
          <w:tcPr/>
          <w:p>
            <w:pPr>
              <w:pStyle w:val="Compact"/>
            </w:pPr>
            <w:r>
              <w:t xml:space="preserve">0,91</w:t>
            </w:r>
          </w:p>
        </w:tc>
        <w:tc>
          <w:tcPr/>
          <w:p>
            <w:pPr>
              <w:pStyle w:val="Compact"/>
            </w:pPr>
            <w:r>
              <w:t xml:space="preserve">0,92</w:t>
            </w:r>
          </w:p>
        </w:tc>
        <w:tc>
          <w:tcPr/>
          <w:p>
            <w:pPr>
              <w:pStyle w:val="Compact"/>
            </w:pPr>
            <w:r>
              <w:t xml:space="preserve">0,92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Intensidade de emissões (kgCO₂/kgH₂)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3,38</w:t>
            </w:r>
          </w:p>
        </w:tc>
        <w:tc>
          <w:tcPr/>
          <w:p>
            <w:pPr>
              <w:pStyle w:val="Compact"/>
            </w:pPr>
            <w:r>
              <w:t xml:space="preserve">6,93</w:t>
            </w:r>
          </w:p>
        </w:tc>
        <w:tc>
          <w:tcPr/>
          <w:p>
            <w:pPr>
              <w:pStyle w:val="Compact"/>
            </w:pPr>
            <w:r>
              <w:t xml:space="preserve">1,40</w:t>
            </w:r>
          </w:p>
        </w:tc>
        <w:tc>
          <w:tcPr/>
          <w:p>
            <w:pPr>
              <w:pStyle w:val="Compact"/>
            </w:pPr>
            <w:r>
              <w:t xml:space="preserve">1,47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 marginal do último MW (R$ mil/MW·ano)</w:t>
            </w:r>
          </w:p>
        </w:tc>
        <w:tc>
          <w:tcPr/>
          <w:p>
            <w:pPr>
              <w:pStyle w:val="Compact"/>
            </w:pPr>
            <w:r>
              <w:t xml:space="preserve">895</w:t>
            </w:r>
          </w:p>
        </w:tc>
        <w:tc>
          <w:tcPr/>
          <w:p>
            <w:pPr>
              <w:pStyle w:val="Compact"/>
            </w:pPr>
            <w:r>
              <w:t xml:space="preserve">914</w:t>
            </w:r>
          </w:p>
        </w:tc>
        <w:tc>
          <w:tcPr/>
          <w:p>
            <w:pPr>
              <w:pStyle w:val="Compact"/>
            </w:pPr>
            <w:r>
              <w:t xml:space="preserve">1.007</w:t>
            </w:r>
          </w:p>
        </w:tc>
        <w:tc>
          <w:tcPr/>
          <w:p>
            <w:pPr>
              <w:pStyle w:val="Compact"/>
            </w:pPr>
            <w:r>
              <w:t xml:space="preserve">496</w:t>
            </w:r>
          </w:p>
        </w:tc>
        <w:tc>
          <w:tcPr/>
          <w:p>
            <w:pPr>
              <w:pStyle w:val="Compact"/>
            </w:pPr>
            <w:r>
              <w:t xml:space="preserve">474</w:t>
            </w:r>
          </w:p>
        </w:tc>
        <w:tc>
          <w:tcPr/>
          <w:p>
            <w:pPr>
              <w:pStyle w:val="Compact"/>
            </w:pPr>
            <w:r>
              <w:t xml:space="preserve">474</w:t>
            </w:r>
          </w:p>
        </w:tc>
      </w:tr>
    </w:tbl>
    <w:p>
      <w:pPr>
        <w:pStyle w:val="Fonte"/>
      </w:pPr>
      <w:r>
        <w:t xml:space="preserve">Fonte: elaborado pelo autor. Referência: importação vedada. Fator médio: série horária do SIN estimada com dados do ONS (2021 a 2025); fator marginal: 449 kgCO₂/MWh. Na importação livre, a intensidade não é apurada.</w:t>
      </w:r>
    </w:p>
    <w:p>
      <w:pPr>
        <w:pStyle w:val="BodyText"/>
      </w:pPr>
      <w:r>
        <w:rPr>
          <w:b/>
          <w:bCs/>
        </w:rPr>
        <w:t xml:space="preserve">Fator médio.</w:t>
      </w:r>
      <w:r>
        <w:t xml:space="preserve"> </w:t>
      </w:r>
      <w:r>
        <w:t xml:space="preserve">Com o fator de emissão médio do SIN, nenhum dos limites é restritivo na maior parte do tempo. O eletrolisador importa cerca de 90 GWh por ano, 65% de sua energia, e a intensidade de emissões do hidrogênio fica em 1,4 a 1,5 kgCO₂/kgH₂, abaixo até do limite de 3,4 kgCO₂/kgH₂. Apenas em 2021, ano de crise hídrica, em que o fator médio do SIN foi de 94 kgCO₂/MWh, o limite de 3,4 kgCO₂/kgH₂ chega a restringir a importação, o que reduz o lucro esperado em R$ 0,25 milhão por ano em relação ao limite de 7 kgCO₂/kgH₂. O resultado é praticamente igual ao da importação livre: com o fator médio, o critério de intensidade do marco legal não restringe o suprimento pela rede, e a hipótese de suprimento exclusivamente fotovoltaico do caso de referência é muito mais restritiva que a lei.</w:t>
      </w:r>
    </w:p>
    <w:p>
      <w:pPr>
        <w:pStyle w:val="BodyText"/>
      </w:pPr>
      <w:r>
        <w:rPr>
          <w:b/>
          <w:bCs/>
        </w:rPr>
        <w:t xml:space="preserve">Fator marginal.</w:t>
      </w:r>
      <w:r>
        <w:t xml:space="preserve"> </w:t>
      </w:r>
      <w:r>
        <w:t xml:space="preserve">Com o fator marginal, de 449 kgCO₂/MWh, os limites são restritivos, e a intensidade do hidrogênio atinge o teto (6,93 e 3,38 kgCO₂/kgH₂). A rede supre 28% da energia do eletrolisador com o limite de 7 kgCO₂/kgH₂ e 14% com o de 3,4, frações próximas da razão entre o fator equivalente ao limite e o fator marginal (127/449 e 62/449). Em relação ao caso de referência, a produção de hidrogênio aumenta 52% e 22%, e o lucro esperado, R$ 5,7 milhões e R$ 2,3 milhões por ano, respectivamente.</w:t>
      </w:r>
    </w:p>
    <w:p>
      <w:pPr>
        <w:pStyle w:val="BodyText"/>
      </w:pPr>
      <w:r>
        <w:rPr>
          <w:b/>
          <w:bCs/>
        </w:rPr>
        <w:t xml:space="preserve">Efeito sobre o BESS.</w:t>
      </w:r>
      <w:r>
        <w:t xml:space="preserve"> </w:t>
      </w:r>
      <w:r>
        <w:t xml:space="preserve">O limite de emissões altera o papel do módulo mercantil em sentidos opostos conforme o fator de emissão. Com o fator médio, como na importação livre, a rede substitui o BESS no suprimento noturno do eletrolisador, e o custo do último MW cai para R$ 474 mil a R$ 496 mil/(MW·ano), de modo que o ótimo passa a ser contratar toda a potência. Com o fator marginal, ao contrário, a energia FV e a energia da rede tornam-se complementares: cada MWh de origem FV consumido pelo eletrolisador, diretamente ou após armazenamento, abre espaço na Equação (3.21) para a importação de uma fração de MWh da rede, e o módulo mercantil, que desloca a energia FV para a noite, passa a valer mais fora do leilão. Com o limite de 7 kgCO₂/kgH₂, o custo do último MW sobe de R$ 895 mil para R$ 1,007 milhão/(MW·ano), e a potência ótima para a receita de referência cai de 55 para 50 MW.</w:t>
      </w:r>
    </w:p>
    <w:p>
      <w:pPr>
        <w:pStyle w:val="BodyText"/>
      </w:pPr>
      <w:r>
        <w:rPr>
          <w:b/>
          <w:bCs/>
        </w:rPr>
        <w:t xml:space="preserve">Viabilidade e lance mínimo.</w:t>
      </w:r>
      <w:r>
        <w:t xml:space="preserve"> </w:t>
      </w:r>
      <w:r>
        <w:t xml:space="preserve">O limite de emissões não altera o lance mínimo do BESS a construir, que permanece em R$ 1,214 milhão/(MW·ano) com o BESS de referência e em R$ 1,160 milhão com o BESS dimensionado para o contrato: no primeiro, a oferta de toda a potência elimina o módulo mercantil, e, no segundo, o BESS não altera a operação do lado mercantil (Subseção 4.2.4). O critério altera, porém, a viabilidade do empreendimento como um todo (Tabela 4.4): à taxa de 12,1%, o VPL passa de −R$ 546 milhões no caso de referência para −R$ 531 milhões com o limite de 7 kgCO₂/kgH₂ e fator marginal e para −R$ 450 milhões com fator médio, e o preço de equilíbrio do hidrogênio cai de R$ 116/kg para R$ 87/kg e R$ 62/kg, respectivamente. Com o fator marginal, o ganho de lucro é parcialmente consumido pela troca de pilhas, que o fator de capacidade mais alto do eletrolisador antecipa para o 12º ano.</w:t>
      </w:r>
    </w:p>
    <w:p>
      <w:pPr>
        <w:pStyle w:val="BodyText"/>
      </w:pPr>
      <w:r>
        <w:t xml:space="preserve">Esses resultados indicam que, sob o critério de intensidade de emissões, a informação decisiva não é o valor do limite, mas a metodologia de cálculo do fator de emissão da rede — médio ou marginal, anual, mensal ou horário —, que depende da regulamentação da certificação do hidrogênio.</w:t>
      </w:r>
    </w:p>
    <w:p>
      <w:pPr>
        <w:pStyle w:val="BodyText"/>
      </w:pPr>
      <w:r>
        <w:rPr>
          <w:b/>
          <w:bCs/>
        </w:rPr>
        <w:t xml:space="preserve">Correspondência temporal.</w:t>
      </w:r>
      <w:r>
        <w:t xml:space="preserve"> </w:t>
      </w:r>
      <w:r>
        <w:t xml:space="preserve">Uma regra alternativa ao limite de intensidade, inspirada no regulamento europeu, admite a compra da rede para o eletrolisador desde que, em cada janela, ela não exceda a energia renovável exportada pela própria usina (Seção 3.4.5). Com janela diária, a potência ótima com a receita de referência passa a 60 MW e o lucro esperado a R$ 72,7 milhões por ano (+7% em relação ao caso de referência); a usina compra 23,0 GWh/ano, praticamente toda à noite, e vende 28,3 GWh, o fator de capacidade do eletrolisador sobe de 0,37 para 0,47 e o hidrogênio vendido, de 1.029 t para 1.301 t por ano. Com janela semanal, os resultados são quase os mesmos (R$ 72,9 milhões; 1.307 t), pois a compra fica limitada pela própria exportação da usina; a janela mensal, admitida pelo regulamento europeu até 2029, deve, portanto, ter efeito semelhante. A regra fica entre o hidrogênio verde estrito e a importação livre (R$ 88,5 milhões; 2.553 t), e, ao suprir o eletrolisador à noite pela rede, libera o BESS para o leilão. O lance mínimo não se altera (R$ 1,214 milhão/(MW·ano)), e o preço de equilíbrio do hidrogênio cai de R$ 116/kg para R$ 95/kg a R$ 96/kg.</w:t>
      </w:r>
    </w:p>
    <w:bookmarkEnd w:id="40"/>
    <w:bookmarkStart w:id="44" w:name="frequência-do-despacho-do-ons"/>
    <w:p>
      <w:pPr>
        <w:pStyle w:val="Heading3"/>
      </w:pPr>
      <w:r>
        <w:t xml:space="preserve">4.3.6 Frequência do despacho do ONS</w:t>
      </w:r>
    </w:p>
    <w:p>
      <w:pPr>
        <w:pStyle w:val="FirstParagraph"/>
      </w:pPr>
      <w:r>
        <w:t xml:space="preserve">A Figura 4.8 e a Tabela 4.13 apresentam a curva de oferta do caso de referência para 50, 150 e 365 despachos por ano.</w:t>
      </w:r>
    </w:p>
    <w:p>
      <w:pPr>
        <w:pStyle w:val="Legenda"/>
      </w:pPr>
      <w:r>
        <w:t xml:space="preserve">Figura 4.8 – Curva de oferta no LRCAP para diferentes frequências de despacho do ONS: (a) perda de lucro operacional esperado; (b) custo de oportunidade marginal; (c) potência ótima em função da receita fixa</w:t>
      </w:r>
    </w:p>
    <w:p>
      <w:pPr>
        <w:pStyle w:val="Figura"/>
      </w:pPr>
      <w:r>
        <w:drawing>
          <wp:inline>
            <wp:extent cx="5334000" cy="163576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figuras/curva_oferta_ciclos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35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Legenda"/>
      </w:pPr>
      <w:r>
        <w:t xml:space="preserve">Tabela 4.13 – Efeito da frequência do despacho do ONS (receita fixa de R$ 600 mil/(MW·ano))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Despachos por ano</w:t>
            </w:r>
          </w:p>
        </w:tc>
        <w:tc>
          <w:tcPr/>
          <w:p>
            <w:pPr>
              <w:pStyle w:val="Compact"/>
            </w:pPr>
            <w:r>
              <w:t xml:space="preserve">Potência ótima (MW)</w:t>
            </w:r>
          </w:p>
        </w:tc>
        <w:tc>
          <w:tcPr/>
          <w:p>
            <w:pPr>
              <w:pStyle w:val="Compact"/>
            </w:pPr>
            <w:r>
              <w:t xml:space="preserve">Lucro esperado (R$ mi/ano)</w:t>
            </w:r>
          </w:p>
        </w:tc>
        <w:tc>
          <w:tcPr/>
          <w:p>
            <w:pPr>
              <w:pStyle w:val="Compact"/>
            </w:pPr>
            <w:r>
              <w:t xml:space="preserve">Degradação do BESS (R$ mi/ano)</w:t>
            </w:r>
          </w:p>
        </w:tc>
        <w:tc>
          <w:tcPr/>
          <w:p>
            <w:pPr>
              <w:pStyle w:val="Compact"/>
            </w:pPr>
            <w:r>
              <w:t xml:space="preserve">Receita mínima de entrada (R$ mil/MW·ano)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71,6</w:t>
            </w:r>
          </w:p>
        </w:tc>
        <w:tc>
          <w:tcPr/>
          <w:p>
            <w:pPr>
              <w:pStyle w:val="Compact"/>
            </w:pPr>
            <w:r>
              <w:t xml:space="preserve">1,0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150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70,5</w:t>
            </w:r>
          </w:p>
        </w:tc>
        <w:tc>
          <w:tcPr/>
          <w:p>
            <w:pPr>
              <w:pStyle w:val="Compact"/>
            </w:pPr>
            <w:r>
              <w:t xml:space="preserve">2,1</w:t>
            </w:r>
          </w:p>
        </w:tc>
        <w:tc>
          <w:tcPr/>
          <w:p>
            <w:pPr>
              <w:pStyle w:val="Compact"/>
            </w:pPr>
            <w:r>
              <w:t xml:space="preserve">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365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68,1</w:t>
            </w:r>
          </w:p>
        </w:tc>
        <w:tc>
          <w:tcPr/>
          <w:p>
            <w:pPr>
              <w:pStyle w:val="Compact"/>
            </w:pPr>
            <w:r>
              <w:t xml:space="preserve">4,4</w:t>
            </w:r>
          </w:p>
        </w:tc>
        <w:tc>
          <w:tcPr/>
          <w:p>
            <w:pPr>
              <w:pStyle w:val="Compact"/>
            </w:pPr>
            <w:r>
              <w:t xml:space="preserve">76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As receitas no MCP e com hidrogênio são idênticas nos três casos, de modo que a frequência do despacho não altera a operação do lado mercantil. A única diferença está no custo de degradação do módulo LRCAP, e as curvas de custo de oportunidade marginal da Figura 4.8(b) são deslocadas em paralelo por exatamente</w:t>
      </w:r>
      <w:r>
        <w:t xml:space="preserve"> </w:t>
      </w:r>
      <m:oMath>
        <m:sSup>
          <m:e>
            <m:r>
              <m:t>c</m:t>
            </m:r>
          </m:e>
          <m:sup>
            <m:r>
              <m:t>d</m:t>
            </m:r>
            <m:r>
              <m:t>e</m:t>
            </m:r>
            <m:r>
              <m:t>g</m:t>
            </m:r>
          </m:sup>
        </m:sSup>
        <m:sSup>
          <m:e>
            <m:r>
              <m:t>H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Δ</m:t>
        </m:r>
        <m:sSup>
          <m:e>
            <m:r>
              <m:t>N</m:t>
            </m:r>
          </m:e>
          <m:sup>
            <m:r>
              <m:t>o</m:t>
            </m:r>
            <m:r>
              <m:t>n</m:t>
            </m:r>
            <m:r>
              <m:t>s</m:t>
            </m:r>
          </m:sup>
        </m:sSup>
      </m:oMath>
      <w:r>
        <w:t xml:space="preserve">: R$ 43 mil/(MW·ano) entre 150 e 365 despachos e R$ 63 mil/(MW·ano) entre 50 e 365 despachos, como previsto pela Equação (3.46). O efeito do ponto de conexão compartilhado mostrou-se, portanto, desprezível.</w:t>
      </w:r>
    </w:p>
    <w:p>
      <w:pPr>
        <w:pStyle w:val="BodyText"/>
      </w:pPr>
      <w:r>
        <w:t xml:space="preserve">Em consequência, a frequência do despacho, embora desconhecida, não altera a potência ótima para a receita de referência e afeta apenas o limiar de entrada e o lucro. Como seu efeito é linear e pode ser calculado diretamente, sem simulação, essa incerteza pode ser incorporada à análise como um custo por MW contratado — por exemplo, como componente do lance mínimo —, sem a necessidade de cenários adicionais no modelo de operação.</w:t>
      </w:r>
    </w:p>
    <w:p>
      <w:pPr>
        <w:pStyle w:val="BodyText"/>
      </w:pPr>
      <w:r>
        <w:t xml:space="preserve">O critério de escolha das horas de descarga também é desconhecido. O perfil do caso de referência descarrega no bloco de quatro horas de maior PLD após o período solar; como alternativa, avaliou-se um perfil que descarrega na ponta da carga líquida do SIN e recarrega nas horas de menor carga líquida da janela de recarga (Seção 3.7.2). Entre 2021 e 2025, a carga líquida média foi de 56 a 59 GW, e sua ponta ocorreu sobretudo entre 18 h e 22 h, como a do PLD: os dois perfis coincidem em 83% a 94% das horas de descarga, conforme o ano, e o PLD médio nas horas de descarga difere em menos de R$ 1/MWh. O resultado é que a curva de oferta não se altera: o lucro operacional esperado difere do caso de referência em menos de R$ 60 por ano em todas as potências, valor da ordem da tolerância do</w:t>
      </w:r>
      <w:r>
        <w:t xml:space="preserve"> </w:t>
      </w:r>
      <w:r>
        <w:rPr>
          <w:i/>
          <w:iCs/>
        </w:rPr>
        <w:t xml:space="preserve">solver</w:t>
      </w:r>
      <w:r>
        <w:t xml:space="preserve">, e a potência ótima (55 MW), a receita mínima de entrada (R$ 76 mil/(MW·ano)) e o lance mínimo (Tabela 4.6) são os mesmos. Isso decorre da separação entre os módulos: a energia do módulo LRCAP é liquidada pela CONCAP, e o perfil afeta o empreendedor apenas pela degradação, que depende do número de ciclos e não das horas em que ocorrem, e pelo limite do ponto de conexão, que não se mostrou ativo. Assim, o resultado é robusto ao critério de despacho do ONS, desde que o número de ciclos seja mantido e a recarga ocorra dentro da janela solar.</w:t>
      </w:r>
    </w:p>
    <w:p>
      <w:pPr>
        <w:pStyle w:val="BodyText"/>
      </w:pPr>
      <w:r>
        <w:t xml:space="preserve">Os cenários supõem também que os preços de 2021 a 2025 se repetem ao longo do contrato, mas o próprio LRCAP deve contratar armazenamento que descarrega na ponta e tende a achatar o perfil diário do PLD. Para representar esse efeito, o PLD de cada hora foi aproximado da média do seu dia,</w:t>
      </w:r>
      <w:r>
        <w:t xml:space="preserve"> </w:t>
      </w:r>
      <m:oMath>
        <m:sSubSup>
          <m:e>
            <m:r>
              <m:t>λ</m:t>
            </m:r>
          </m:e>
          <m:sub>
            <m:r>
              <m:t>t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sSub>
          <m:e>
            <m:acc>
              <m:accPr>
                <m:chr m:val="‾"/>
              </m:accPr>
              <m:e>
                <m:r>
                  <m:t>λ</m:t>
                </m:r>
              </m:e>
            </m:acc>
          </m:e>
          <m:sub>
            <m:r>
              <m:t>d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t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λ</m:t>
                </m:r>
              </m:e>
            </m:acc>
          </m:e>
          <m:sub>
            <m:r>
              <m:t>d</m:t>
            </m:r>
          </m:sub>
        </m:sSub>
        <m:r>
          <m:rPr>
            <m:sty m:val="p"/>
          </m:rPr>
          <m:t>)</m:t>
        </m:r>
      </m:oMath>
      <w:r>
        <w:t xml:space="preserve">, com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= 25% e 50%, o que preserva a média diária e a ordem das horas (e, portanto, o perfil do ONS) e reduz a amplitude diária média de R$ 161/MWh para R$ 121/MWh e R$ 80/MWh no cenário de 2025. O efeito é pequeno: o lucro operacional sem o leilão cai 0,2% e 0,3% (de R$ 45,03 milhões para R$ 44,95 milhões e R$ 44,89 milhões por ano), a perda de lucro com 60 MW contratados cai 1,4% e 2,6% (de R$ 14,05 milhões para R$ 13,86 milhões e R$ 13,69 milhões), a receita mínima de entrada passa de R$ 76 mil para R$ 75 mil e R$ 74 mil/(MW·ano), o custo marginal do último MW, de R$ 895 mil para R$ 885 mil e R$ 876 mil/MW, e a potência ótima com a receita de referência permanece em 55 MW. A arbitragem do módulo mercantil responde por pouco do custo de oportunidade, dominado pela energia que deixa de ir ao eletrolisador, cuja valorização não depende do perfil horário do PLD; com o spread menor, a exportação ao MCP chega a aumentar ligeiramente, pois perde valor guardar energia para a ponta. O lance mínimo não se altera, pois, com o BESS todo contratado, a perda do uso mercantil é nula (Seção 4.2.2).</w:t>
      </w:r>
    </w:p>
    <w:bookmarkEnd w:id="44"/>
    <w:bookmarkStart w:id="51" w:name="custo-de-degradação-e-dimensionamento"/>
    <w:p>
      <w:pPr>
        <w:pStyle w:val="Heading3"/>
      </w:pPr>
      <w:r>
        <w:t xml:space="preserve">4.3.7 Custo de degradação e dimensionamento</w:t>
      </w:r>
    </w:p>
    <w:p>
      <w:pPr>
        <w:pStyle w:val="FirstParagraph"/>
      </w:pPr>
      <w:r>
        <w:t xml:space="preserve">Esta subseção avalia duas hipóteses que poderiam alterar as conclusões anteriores: o custo de degradação do BESS e o dimensionamento do eletrolisador e do tanque de hidrogênio.</w:t>
      </w:r>
    </w:p>
    <w:p>
      <w:pPr>
        <w:pStyle w:val="BodyText"/>
      </w:pPr>
      <w:r>
        <w:rPr>
          <w:b/>
          <w:bCs/>
        </w:rPr>
        <w:t xml:space="preserve">Custo de degradação.</w:t>
      </w:r>
      <w:r>
        <w:t xml:space="preserve"> </w:t>
      </w:r>
      <w:r>
        <w:t xml:space="preserve">A Figura 4.9 e a Tabela 4.14 apresentam a curva de oferta para custos de degradação de R$ 50, R$ 100 e R$ 200/MWh, os dois últimos próximos da faixa estimada a partir do custo de reposição dos módulos (Seção 3.5).</w:t>
      </w:r>
    </w:p>
    <w:p>
      <w:pPr>
        <w:pStyle w:val="Legenda"/>
      </w:pPr>
      <w:r>
        <w:t xml:space="preserve">Figura 4.9 – Curva de oferta no LRCAP para diferentes custos de degradação do BESS: (a) perda de lucro operacional esperado; (b) custo de oportunidade marginal; (c) potência ótima em função da receita fixa</w:t>
      </w:r>
    </w:p>
    <w:p>
      <w:pPr>
        <w:pStyle w:val="Figura"/>
      </w:pPr>
      <w:r>
        <w:drawing>
          <wp:inline>
            <wp:extent cx="5334000" cy="163576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figuras/curva_oferta_degradacao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35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Legenda"/>
      </w:pPr>
      <w:r>
        <w:t xml:space="preserve">Tabela 4.14 – Efeito do custo de degradação do BESS (receita fixa de R$ 600 mil/(MW·ano))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Custo de degradação (R$/MWh)</w:t>
            </w:r>
          </w:p>
        </w:tc>
        <w:tc>
          <w:tcPr/>
          <w:p>
            <w:pPr>
              <w:pStyle w:val="Compact"/>
            </w:pPr>
            <w:r>
              <w:t xml:space="preserve">Potência ótima (MW)</w:t>
            </w:r>
          </w:p>
        </w:tc>
        <w:tc>
          <w:tcPr/>
          <w:p>
            <w:pPr>
              <w:pStyle w:val="Compact"/>
            </w:pPr>
            <w:r>
              <w:t xml:space="preserve">Lucro esperado (R$ mi/ano)</w:t>
            </w:r>
          </w:p>
        </w:tc>
        <w:tc>
          <w:tcPr/>
          <w:p>
            <w:pPr>
              <w:pStyle w:val="Compact"/>
            </w:pPr>
            <w:r>
              <w:t xml:space="preserve">Receita mínima de entrada (R$ mil/MW·ano)</w:t>
            </w:r>
          </w:p>
        </w:tc>
        <w:tc>
          <w:tcPr/>
          <w:p>
            <w:pPr>
              <w:pStyle w:val="Compact"/>
            </w:pPr>
            <w:r>
              <w:t xml:space="preserve">Custo marginal do último MW (R$ mil/MW·ano)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68,1</w:t>
            </w:r>
          </w:p>
        </w:tc>
        <w:tc>
          <w:tcPr/>
          <w:p>
            <w:pPr>
              <w:pStyle w:val="Compact"/>
            </w:pPr>
            <w:r>
              <w:t xml:space="preserve">76</w:t>
            </w:r>
          </w:p>
        </w:tc>
        <w:tc>
          <w:tcPr/>
          <w:p>
            <w:pPr>
              <w:pStyle w:val="Compact"/>
            </w:pPr>
            <w:r>
              <w:t xml:space="preserve">895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63,7</w:t>
            </w:r>
          </w:p>
        </w:tc>
        <w:tc>
          <w:tcPr/>
          <w:p>
            <w:pPr>
              <w:pStyle w:val="Compact"/>
            </w:pPr>
            <w:r>
              <w:t xml:space="preserve">149</w:t>
            </w:r>
          </w:p>
        </w:tc>
        <w:tc>
          <w:tcPr/>
          <w:p>
            <w:pPr>
              <w:pStyle w:val="Compact"/>
            </w:pPr>
            <w:r>
              <w:t xml:space="preserve">881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52,5</w:t>
            </w:r>
          </w:p>
        </w:tc>
        <w:tc>
          <w:tcPr/>
          <w:p>
            <w:pPr>
              <w:pStyle w:val="Compact"/>
            </w:pPr>
            <w:r>
              <w:t xml:space="preserve">54,9</w:t>
            </w:r>
          </w:p>
        </w:tc>
        <w:tc>
          <w:tcPr/>
          <w:p>
            <w:pPr>
              <w:pStyle w:val="Compact"/>
            </w:pPr>
            <w:r>
              <w:t xml:space="preserve">295</w:t>
            </w:r>
          </w:p>
        </w:tc>
        <w:tc>
          <w:tcPr/>
          <w:p>
            <w:pPr>
              <w:pStyle w:val="Compact"/>
            </w:pPr>
            <w:r>
              <w:t xml:space="preserve">855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Quadruplicar o custo de degradação reduz o lucro em R$ 13,2 milhões por ano e quase quadruplica a receita mínima de entrada, mas desloca a potência ótima em apenas 2,5 MW. A razão está na Figura 4.9(b): o custo maior eleva o custo de oportunidade na faixa inferior da curva, onde predomina o desgaste do módulo LRCAP, despachado diariamente; na faixa superior, porém, também torna mais caro o uso mercantil da bateria, que é justamente o uso perdido ao se contratar mais potência, e os dois efeitos praticamente se compensam. A decisão de quanto ofertar é, portanto, robusta ao custo de degradação, enquanto a decisão de participar e o lucro esperado são sensíveis a ele.</w:t>
      </w:r>
    </w:p>
    <w:p>
      <w:pPr>
        <w:pStyle w:val="BodyText"/>
      </w:pPr>
      <w:r>
        <w:rPr>
          <w:b/>
          <w:bCs/>
        </w:rPr>
        <w:t xml:space="preserve">Tamanho do eletrolisador.</w:t>
      </w:r>
      <w:r>
        <w:t xml:space="preserve"> </w:t>
      </w:r>
      <w:r>
        <w:t xml:space="preserve">A Figura 4.10 e a Tabela 4.15 comparam eletrolisadores de 10, 17,5 e 25 MW, mantida a usina FV de 50 MWp.</w:t>
      </w:r>
    </w:p>
    <w:p>
      <w:pPr>
        <w:pStyle w:val="Legenda"/>
      </w:pPr>
      <w:r>
        <w:t xml:space="preserve">Figura 4.10 – Curva de oferta no LRCAP para diferentes potências do eletrolisador: (a) perda de lucro operacional esperado; (b) custo de oportunidade marginal; (c) potência ótima em função da receita fixa</w:t>
      </w:r>
    </w:p>
    <w:p>
      <w:pPr>
        <w:pStyle w:val="Figura"/>
      </w:pPr>
      <w:r>
        <w:drawing>
          <wp:inline>
            <wp:extent cx="5334000" cy="163576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figuras/curva_oferta_eletrolisador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35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Legenda"/>
      </w:pPr>
      <w:r>
        <w:t xml:space="preserve">Tabela 4.15 – Efeito da potência do eletrolisador (receita fixa de R$ 600 mil/(MW·ano))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Eletrolisador (MW)</w:t>
            </w:r>
          </w:p>
        </w:tc>
        <w:tc>
          <w:tcPr/>
          <w:p>
            <w:pPr>
              <w:pStyle w:val="Compact"/>
            </w:pPr>
            <w:r>
              <w:t xml:space="preserve">Potência ótima (MW)</w:t>
            </w:r>
          </w:p>
        </w:tc>
        <w:tc>
          <w:tcPr/>
          <w:p>
            <w:pPr>
              <w:pStyle w:val="Compact"/>
            </w:pPr>
            <w:r>
              <w:t xml:space="preserve">Lucro esperado (R$ mi/ano)</w:t>
            </w:r>
          </w:p>
        </w:tc>
        <w:tc>
          <w:tcPr/>
          <w:p>
            <w:pPr>
              <w:pStyle w:val="Compact"/>
            </w:pPr>
            <w:r>
              <w:t xml:space="preserve">H₂ vendido (t/ano)</w:t>
            </w:r>
          </w:p>
        </w:tc>
        <w:tc>
          <w:tcPr/>
          <w:p>
            <w:pPr>
              <w:pStyle w:val="Compact"/>
            </w:pPr>
            <w:r>
              <w:t xml:space="preserve">Fator de capacidade do eletrolisador</w:t>
            </w:r>
          </w:p>
        </w:tc>
        <w:tc>
          <w:tcPr/>
          <w:p>
            <w:pPr>
              <w:pStyle w:val="Compact"/>
            </w:pPr>
            <w:r>
              <w:t xml:space="preserve">Energia exportada (GWh/ano)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60,4</w:t>
            </w:r>
          </w:p>
        </w:tc>
        <w:tc>
          <w:tcPr/>
          <w:p>
            <w:pPr>
              <w:pStyle w:val="Compact"/>
            </w:pPr>
            <w:r>
              <w:t xml:space="preserve">850</w:t>
            </w:r>
          </w:p>
        </w:tc>
        <w:tc>
          <w:tcPr/>
          <w:p>
            <w:pPr>
              <w:pStyle w:val="Compact"/>
            </w:pPr>
            <w:r>
              <w:t xml:space="preserve">0,53</w:t>
            </w:r>
          </w:p>
        </w:tc>
        <w:tc>
          <w:tcPr/>
          <w:p>
            <w:pPr>
              <w:pStyle w:val="Compact"/>
            </w:pPr>
            <w:r>
              <w:t xml:space="preserve">28,4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17,5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68,1</w:t>
            </w:r>
          </w:p>
        </w:tc>
        <w:tc>
          <w:tcPr/>
          <w:p>
            <w:pPr>
              <w:pStyle w:val="Compact"/>
            </w:pPr>
            <w:r>
              <w:t xml:space="preserve">1.029</w:t>
            </w:r>
          </w:p>
        </w:tc>
        <w:tc>
          <w:tcPr/>
          <w:p>
            <w:pPr>
              <w:pStyle w:val="Compact"/>
            </w:pPr>
            <w:r>
              <w:t xml:space="preserve">0,37</w:t>
            </w:r>
          </w:p>
        </w:tc>
        <w:tc>
          <w:tcPr/>
          <w:p>
            <w:pPr>
              <w:pStyle w:val="Compact"/>
            </w:pPr>
            <w:r>
              <w:t xml:space="preserve">19,4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57,5</w:t>
            </w:r>
          </w:p>
        </w:tc>
        <w:tc>
          <w:tcPr/>
          <w:p>
            <w:pPr>
              <w:pStyle w:val="Compact"/>
            </w:pPr>
            <w:r>
              <w:t xml:space="preserve">73,5</w:t>
            </w:r>
          </w:p>
        </w:tc>
        <w:tc>
          <w:tcPr/>
          <w:p>
            <w:pPr>
              <w:pStyle w:val="Compact"/>
            </w:pPr>
            <w:r>
              <w:t xml:space="preserve">1.175</w:t>
            </w:r>
          </w:p>
        </w:tc>
        <w:tc>
          <w:tcPr/>
          <w:p>
            <w:pPr>
              <w:pStyle w:val="Compact"/>
            </w:pPr>
            <w:r>
              <w:t xml:space="preserve">0,30</w:t>
            </w:r>
          </w:p>
        </w:tc>
        <w:tc>
          <w:tcPr/>
          <w:p>
            <w:pPr>
              <w:pStyle w:val="Compact"/>
            </w:pPr>
            <w:r>
              <w:t xml:space="preserve">11,9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O tamanho do eletrolisador altera a forma da curva de oferta. Com 25 MW, o eletrolisador absorve durante o dia a maior parte da geração FV, e o módulo mercantil tem pouco a deslocar para a noite: o custo de oportunidade permanece em torno de R$ 77 mil/(MW·ano) até 45 MW, e o ótimo para a receita de referência sobe para 57,5 MW. Com 10 MW, a geração FV excedente ao meio-dia é muito maior, a bateria mercantil é valiosa desde o mínimo regulatório e o custo de oportunidade já parte de R$ 330 mil/(MW·ano); o ótimo cai para 50 MW. A relação entre as potências do eletrolisador e da usina FV, herdada da planta da UNIFEI (0,35), é, portanto, uma hipótese de projeto com efeito relevante sobre a curva de oferta, e não apenas um parâmetro de escala.</w:t>
      </w:r>
    </w:p>
    <w:p>
      <w:pPr>
        <w:pStyle w:val="BodyText"/>
      </w:pPr>
      <w:r>
        <w:rPr>
          <w:b/>
          <w:bCs/>
        </w:rPr>
        <w:t xml:space="preserve">Tamanho do tanque.</w:t>
      </w:r>
      <w:r>
        <w:t xml:space="preserve"> </w:t>
      </w:r>
      <w:r>
        <w:t xml:space="preserve">No caso com contrato de 3 t/dia, a ampliação do tanque de hidrogênio de 2 t para 10 t reduz o déficit anual de entrega, com 55 MW contratados, de 40 t para 11 t, e eleva o lucro operacional esperado em R$ 1,6 milhão por ano. O tanque maior guarda o hidrogênio produzido nos dias de alta irradiância para os dias nublados, função que, com o tanque de 2 t, cabia ao módulo mercantil do BESS. Por isso, o custo de oportunidade marginal entre 30 e 50 MW cai de R$ 100–169 mil para R$ 85–126 mil/(MW·ano), e o lance mínimo para construir o BESS cai de R$ 1,179 milhão para R$ 1,159 milhão/(MW·ano) (Tabela 4.6). A potência ótima para a receita de referência permanece em 55 MW. O tanque maior, porém, não se paga: os 8 t adicionais custam R$ 43 milhões, ou R$ 6,8 milhões por ano à taxa de 12,1% com os juros durante a construção, contra o acréscimo de R$ 1,6 milhão no lucro, e o VPL do empreendimento piora de −R$ 564 milhões para −R$ 599 milhões (Tabela 4.4). A redução do lance com o tanque de 10 t só se aplica, assim, a um proponente que já disponha do tanque. Com 60 MW contratados, porém, os dois tanques produzem o mesmo resultado: sem o módulo mercantil, o eletrolisador opera apenas nas horas de sol, a entrega de 3 t/dia exige cerca de 9,4 h diárias na potência nominal, e raramente sobra hidrogênio para guardar. Esse efeito do tanque só aparece com a fronteira da relaxação linear (Subseção 4.1): com a condição cíclica semanal, o tanque era esvaziado no início de cada semana e sua ampliação não tinha efeito.</w:t>
      </w:r>
    </w:p>
    <w:p>
      <w:pPr>
        <w:pStyle w:val="BodyText"/>
      </w:pPr>
      <w:r>
        <w:rPr>
          <w:b/>
          <w:bCs/>
        </w:rPr>
        <w:t xml:space="preserve">Tamanho da usina FV.</w:t>
      </w:r>
      <w:r>
        <w:t xml:space="preserve"> </w:t>
      </w:r>
      <w:r>
        <w:t xml:space="preserve">A potência da usina FV foi variada entre 40 MWp e 75 MWp, com o eletrolisador de 17,5 MW e o limite de exportação de 40 MW mantidos. Quanto maior a usina FV em relação ao eletrolisador e à exportação, mais o módulo mercantil é usado para deslocar o excedente solar, e maior o custo de oportunidade de contratá-lo: a potência ótima com a receita de referência é de 55 MW com 40 e 50 MWp, de 52,5 MW com 60 MWp e de 47,5 MW com 75 MWp, e a receita mínima de entrada sobe de R$ 76 mil para R$ 89 mil e R$ 244 mil/(MW·ano); o custo marginal do último MW vai de R$ 758 mil (40 MWp) a R$ 1,055 milhão/MW (75 MWp). O efeito é o inverso do aumento do eletrolisador, que absorve o sol diretamente e libera o BESS para o leilão. O lance mínimo do BESS a construir muda pouco, apenas pelo compartilhamento da conexão: com 40 MWp, a injeção do BESS de 60 MW excede a da usina FV e o lance sobe para R$ 1,237 milhão/(MW·ano) (+2%); com 60 ou 75 MWp, a TUST adicional desaparece e o lance cai para R$ 1,191 milhão (−2%). O empreendimento híbrido não se paga em nenhuma configuração com hidrogênio a R$ 35/kg: o preço de equilíbrio do hidrogênio vai de R$ 121/kg (40 MWp) a R$ 109/kg (75 MWp) e de R$ 126/kg (eletrolisador de 10 MW) a R$ 115/kg (25 MW), de modo que o dimensionamento da usina FV e do eletrolisador é uma questão de viabilidade do hidrogênio, e não do lance.</w:t>
      </w:r>
    </w:p>
    <w:bookmarkEnd w:id="51"/>
    <w:bookmarkStart w:id="58" w:name="X5d7116e36aa75b714ebe85263b9b5917fb83cc3"/>
    <w:p>
      <w:pPr>
        <w:pStyle w:val="Heading3"/>
      </w:pPr>
      <w:r>
        <w:t xml:space="preserve">4.3.8 Sensibilidade à receita fixa e ao preço do hidrogênio</w:t>
      </w:r>
    </w:p>
    <w:p>
      <w:pPr>
        <w:pStyle w:val="FirstParagraph"/>
      </w:pPr>
      <w:r>
        <w:t xml:space="preserve">Como a receita fixa do LRCAP e o preço do hidrogênio não possuem referências consolidadas, o caso determinístico de 2025 foi resolvido para 48 combinações desses parâmetros: seis valores de receita fixa, entre R$ 330 mil e R$ 2,33 milhões/(MW·ano), e oito preços de hidrogênio, entre R$ 10 e R$ 45/kg. Os valores de receita fixa foram escolhidos a partir das quatro referências discutidas na Seção 3.5, sintetizadas no Quadro 4.1.</w:t>
      </w:r>
    </w:p>
    <w:p>
      <w:pPr>
        <w:pStyle w:val="Legenda"/>
      </w:pPr>
      <w:r>
        <w:t xml:space="preserve">Quadro 4.1 – Referências para a faixa de receita fixa avaliada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3168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Receita fixa (R$/MW·ano)</w:t>
            </w:r>
          </w:p>
        </w:tc>
        <w:tc>
          <w:tcPr/>
          <w:p>
            <w:pPr>
              <w:pStyle w:val="Compact"/>
            </w:pPr>
            <w:r>
              <w:t xml:space="preserve">Referência</w:t>
            </w:r>
          </w:p>
        </w:tc>
        <w:tc>
          <w:tcPr/>
          <w:p>
            <w:pPr>
              <w:pStyle w:val="Compact"/>
            </w:pPr>
            <w:r>
              <w:t xml:space="preserve">Observação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330 mil</w:t>
            </w:r>
          </w:p>
        </w:tc>
        <w:tc>
          <w:tcPr/>
          <w:p>
            <w:pPr>
              <w:pStyle w:val="Compact"/>
            </w:pPr>
            <w:r>
              <w:t xml:space="preserve">Primeiro leilão do MACSE, Itália, 30/09/2025: preço médio de € 12.959/(MWh·ano) para sistemas de baterias de íons de lítio, contratos de 15 anos (TERNA, 2025)</w:t>
            </w:r>
          </w:p>
        </w:tc>
        <w:tc>
          <w:tcPr/>
          <w:p>
            <w:pPr>
              <w:pStyle w:val="Compact"/>
            </w:pPr>
            <w:r>
              <w:t xml:space="preserve">Convertido para um sistema de 4 h (€ 51.836/(MW·ano)) com a PTAX de 30/09/2025 (R$ 6,2396/€), o que resulta em R$ 323 mil; arredondado na grade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830 mil</w:t>
            </w:r>
          </w:p>
        </w:tc>
        <w:tc>
          <w:tcPr/>
          <w:p>
            <w:pPr>
              <w:pStyle w:val="Compact"/>
            </w:pPr>
            <w:r>
              <w:t xml:space="preserve">Leilão nº 3/2026-ANEEL (LRCAP), 20/03/2026: 501,3 MW de termelétricas existentes a óleo e biodiesel, preço médio de R$ 831.251,52/(MW·ano), deságio de 50,1% (CCEE, 2026c)</w:t>
            </w:r>
          </w:p>
        </w:tc>
        <w:tc>
          <w:tcPr/>
          <w:p>
            <w:pPr>
              <w:pStyle w:val="Compact"/>
            </w:pPr>
            <w:r>
              <w:t xml:space="preserve">Usinas existentes, sem investimento novo: piso de referência para o produto potência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1,0 e 1,5 mi</w:t>
            </w:r>
          </w:p>
        </w:tc>
        <w:tc>
          <w:tcPr/>
          <w:p>
            <w:pPr>
              <w:pStyle w:val="Compact"/>
            </w:pPr>
            <w:r>
              <w:t xml:space="preserve">CAPEX de referência de sistemas de baterias de R$ 5.000 a 6.000/kW (BRASIL; EPE, 2025)</w:t>
            </w:r>
          </w:p>
        </w:tc>
        <w:tc>
          <w:tcPr/>
          <w:p>
            <w:pPr>
              <w:pStyle w:val="Compact"/>
            </w:pPr>
            <w:r>
              <w:t xml:space="preserve">A anualização do CAPEX à taxa central de 12,1% a.a. em 15 anos resulta em R$ 738 mil a R$ 886 mil/(MW·ano); os valores da grade acrescentam O&amp;M, encargos, tributos e reposição de módulos para manter a disponibilidade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2,33 mi</w:t>
            </w:r>
          </w:p>
        </w:tc>
        <w:tc>
          <w:tcPr/>
          <w:p>
            <w:pPr>
              <w:pStyle w:val="Compact"/>
            </w:pPr>
            <w:r>
              <w:t xml:space="preserve">Leilão nº 2/2026-ANEEL (LRCAP), 18/03/2026: 18,97 GW de termelétricas a gás natural, biometano e carvão e ampliações de hidrelétricas, novas e existentes, preço médio de R$ 2,334 milhões/(MW·ano), deságio de 5,5% (CCEE, 2026b)</w:t>
            </w:r>
          </w:p>
        </w:tc>
        <w:tc>
          <w:tcPr/>
          <w:p>
            <w:pPr>
              <w:pStyle w:val="Compact"/>
            </w:pPr>
            <w:r>
              <w:t xml:space="preserve">Custo de atender à mesma necessidade de potência com a expansão térmica e hidrelétrica: teto de referência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O valor de R$ 600 mil/(MW·ano), adotado no caso de referência, situa-se, portanto, abaixo do preço obtido por usinas existentes no LRCAP de 2026 e abaixo do custo anualizado de investimento em baterias, e deve ser interpretado como hipótese conservadora para a receita fixa. Cada combinação foi resolvida pelo método de Benders, com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máximo de 0,11%. Os resultados são apresentados na Figura 4.11.</w:t>
      </w:r>
    </w:p>
    <w:p>
      <w:pPr>
        <w:pStyle w:val="Legenda"/>
      </w:pPr>
      <w:r>
        <w:t xml:space="preserve">Figura 4.11 – Potência ótima no LRCAP e lucro anual em função da receita fixa e do preço do hidrogênio (caso determinístico de 2025)</w:t>
      </w:r>
    </w:p>
    <w:p>
      <w:pPr>
        <w:pStyle w:val="Figura"/>
      </w:pPr>
      <w:r>
        <w:drawing>
          <wp:inline>
            <wp:extent cx="5334000" cy="206248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figuras/mapa_sensibilidade_potencia_lucro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624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Em nenhuma das combinações é vantajoso deixar de participar do leilão: a potência ótima varia entre 43,8 e 60 MW. Com receita fixa igual ou superior a R$ 1,5 milhão/(MW·ano), o ótimo é contratar toda a potência do BESS para qualquer preço de hidrogênio da faixa avaliada. Para preços de hidrogênio de até R$ 20/kg, o ótimo também é contratar toda a potência, independentemente da receita fixa, pois o valor da energia no eletrolisador, de até R$ 336/MWh, já não justifica reservar o BESS para abastecê-lo. A região em que o ótimo é inferior a 60 MW concentra-se nas combinações de receita fixa baixa e preço de hidrogênio alto, e sua fronteira se desloca para preços maiores à medida que a receita fixa aumenta: a potência ótima deixa de ser 60 MW a partir de R$ 25/kg com receita de R$ 330 mil, de R$ 30/kg com R$ 600 mil, de R$ 40/kg com R$ 830 mil e de R$ 45/kg com R$ 1,0 milhão/(MW·ano).</w:t>
      </w:r>
    </w:p>
    <w:p>
      <w:pPr>
        <w:pStyle w:val="BodyText"/>
      </w:pPr>
      <w:r>
        <w:t xml:space="preserve">O fator de capacidade do eletrolisador acompanha esse comportamento: com hidrogênio a R$ 10/kg, o eletrolisador opera apenas com a geração FV que não encontra uso mais valioso no MCP (fator de capacidade de 0,17); a partir de R$ 25/kg, ele absorve praticamente toda a geração FV (0,34) e, quando parte do BESS permanece no lado mercantil, também opera à noite (até 0,46).</w:t>
      </w:r>
    </w:p>
    <w:p>
      <w:pPr>
        <w:pStyle w:val="BodyText"/>
      </w:pPr>
      <w:r>
        <w:t xml:space="preserve">Para avaliar o custo de uma decisão tomada sob incerteza quanto a esses parâmetros, calculou-se o arrependimento de contratar 54,4 MW — o ótimo do caso de referência —, definido como a diferença entre o lucro ótimo de cada combinação e o lucro obtido com essa potência (Figura 4.12).</w:t>
      </w:r>
    </w:p>
    <w:p>
      <w:pPr>
        <w:pStyle w:val="Legenda"/>
      </w:pPr>
      <w:r>
        <w:t xml:space="preserve">Figura 4.12 – Arrependimento de contratar 54,4 MW em função da receita fixa e do preço do hidrogênio (caso determinístico de 2025)</w:t>
      </w:r>
    </w:p>
    <w:p>
      <w:pPr>
        <w:pStyle w:val="Figura"/>
      </w:pPr>
      <w:r>
        <w:drawing>
          <wp:inline>
            <wp:extent cx="5334000" cy="386715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figuras/mapa_sensibilidade_arrependimento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67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O arrependimento é nulo ou inferior a R$ 0,4 milhão por ano na vizinhança do caso de referência (receita de R$ 600 mil e hidrogênio entre R$ 30 e R$ 45/kg), mas cresce para até R$ 11,6 milhões por ano quando a receita fixa é elevada, situação em que contratar toda a potência seria ótimo. O arrependimento é assimétrico: subestimar a potência a contratar custa mais do que superestimá-la. Com receita de R$ 330 mil e hidrogênio a R$ 45/kg, por exemplo, contratar 54,4 MW em vez do ótimo de 43,8 MW custa R$ 2,5 milhões por ano, enquanto, com receita de R$ 1,5 milhão e hidrogênio a R$ 35/kg, contratar 54,4 MW em vez de 60 MW custa R$ 4,4 milhões por ano. Diante da incerteza sobre a receita fixa — que, no leilão, é o próprio lance —, essa assimetria favorece decisões de contratação mais próximas da potência máxima.</w:t>
      </w:r>
    </w:p>
    <w:p>
      <w:pPr>
        <w:pStyle w:val="BodyText"/>
      </w:pPr>
      <w:r>
        <w:t xml:space="preserve">Os resultados das Figuras 4.11 e 4.12 são coerentes com a curva de oferta da Subseção 4.3.3, obtida com o modelo estocástico: a potência ótima para R$ 600 mil e hidrogênio a R$ 35/kg (54,4 MW no caso determinístico) e a receita a partir da qual se oferta toda a potência (cerca de R$ 900 mil, contra a fronteira entre R$ 830 mil e R$ 1,0 milhão no mapa) são compatíveis entre as duas análises.</w:t>
      </w:r>
    </w:p>
    <w:bookmarkEnd w:id="58"/>
    <w:bookmarkEnd w:id="59"/>
    <w:bookmarkStart w:id="60" w:name="síntese"/>
    <w:p>
      <w:pPr>
        <w:pStyle w:val="Heading2"/>
      </w:pPr>
      <w:r>
        <w:t xml:space="preserve">4.4 Síntese</w:t>
      </w:r>
    </w:p>
    <w:p>
      <w:pPr>
        <w:pStyle w:val="FirstParagraph"/>
      </w:pPr>
      <w:r>
        <w:t xml:space="preserve">Os resultados permitem distinguir duas decisões e hierarquizar os fatores que determinam cada uma.</w:t>
      </w:r>
    </w:p>
    <w:p>
      <w:pPr>
        <w:pStyle w:val="BodyText"/>
      </w:pPr>
      <w:r>
        <w:rPr>
          <w:b/>
          <w:bCs/>
        </w:rPr>
        <w:t xml:space="preserve">Proponente que precisa construir o BESS (resultado principal):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bateria do leilão deve ser dimensionada para o contrato:</w:t>
      </w:r>
      <w:r>
        <w:t xml:space="preserve"> </w:t>
      </w:r>
      <w:r>
        <w:t xml:space="preserve">o módulo mercantil não se paga no lance, e, com a bateria dimensionada para o contrato, o proponente ofertaria qualquer potência entre 30 e 50 MW ao mesmo lance mínimo, que só cresce acima da potência da usina FV; com o BESS de referência, de 60 MW e 300 MWh, a oferta é do tipo</w:t>
      </w:r>
      <w:r>
        <w:t xml:space="preserve"> </w:t>
      </w:r>
      <w:r>
        <w:t xml:space="preserve">“tudo ou nada”</w:t>
      </w:r>
      <w:r>
        <w:t xml:space="preserve">;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 lance mínimo é de cerca de R$ 1,16 milhão/(MW·ano) com a bateria dimensionada para o contrato</w:t>
      </w:r>
      <w:r>
        <w:t xml:space="preserve"> </w:t>
      </w:r>
      <w:r>
        <w:t xml:space="preserve">(R$ 1,21 milhão com o BESS de referência), com investimento de referência de R$ 5.500/kW para 4 h, taxa de 12,1% antes de impostos, um ano de implantação com juros durante a construção, PIS/Cofins de 3,65% e receita fixa reajustada pelo IPCA; varia de R$ 1,11 milhão a R$ 1,47 milhão/(MW·ano) com o BESS de referência, conforme a duração de referência do custo da bateria, a regra de cobrança do uso da rede, o investimento, o regime tributário, o O&amp;M, o prazo de implantação e a disponibilidade, e chegaria a R$ 1,52 milhão se a receita fixa não fosse reajustada; com custos de BESS próximos dos internacionais de 2025 (US$ 110 a 219/kWh, contra cerca de US$ 254/kWh implícitos no valor da EPE), cairia para R$ 0,50 milhão a R$ 1,00 milhão; corresponde ao custo anual equivalente do BESS por MW acrescido dos tributos sobre a receita (Equação (3.47)) e supera o preço obtido por termelétricas existentes no LRCAP de 2026 (R$ 831 mil); com a taxa após impostos, que ignora o imposto de renda, cairia para R$ 936 mil;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 papel do arranjo híbrido no lance é o compartilhamento da conexão, condicionado à existência da usina:</w:t>
      </w:r>
      <w:r>
        <w:t xml:space="preserve"> </w:t>
      </w:r>
      <w:r>
        <w:t xml:space="preserve">uma bateria isolada teria lance de R$ 1,30 milhão/(MW·ano), R$ 136 mil acima do híbrido, mas a usina FV com o eletrolisador que hospeda a bateria tem, sozinha, VPL de −R$ 311 milhões; o lance do híbrido vale, portanto, para uma usina que exista ou se justifique por outras razões. As hipóteses sobre o hidrogênio alteram pouco o lance (redução de até 5%, no contrato firme de 3 t/dia com tanque de 10 t, efeito que depende da multa contratual adotada; o tanque maior, porém, custa mais do que acrescenta ao lucro); essas hipóteses determinam, porém, a viabilidade do empreendimento como um todo: com os parâmetros centrais, nenhum caso se paga, e o preço de equilíbrio do hidrogênio no caso de referência é de cerca de R$ 116/kg;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sem a receita do leilão, o BESS agrega pouco</w:t>
      </w:r>
      <w:r>
        <w:t xml:space="preserve"> </w:t>
      </w:r>
      <w:r>
        <w:t xml:space="preserve">(R$ 8,8 milhões por ano, contra custo anual equivalente de R$ 70,1 milhões): é o LRCAP que pode viabilizar a bateria, e a receita de referência de R$ 600 mil/(MW·ano) é insuficiente para isso.</w:t>
      </w:r>
    </w:p>
    <w:p>
      <w:pPr>
        <w:pStyle w:val="FirstParagraph"/>
      </w:pPr>
      <w:r>
        <w:rPr>
          <w:b/>
          <w:bCs/>
        </w:rPr>
        <w:t xml:space="preserve">Proponente que dispõe do BESS: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participar do leilão é robusto:</w:t>
      </w:r>
      <w:r>
        <w:t xml:space="preserve"> </w:t>
      </w:r>
      <w:r>
        <w:t xml:space="preserve">até cerca de 37,5 MW, o custo de oportunidade marginal situa-se entre R$ 77 mil e R$ 111 mil/(MW·ano) nos casos de contrato de hidrogênio e de importação, e a receita mínima de entrada permanece abaixo de R$ 300 mil/(MW·ano) em todos os casos;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 quantidade a ofertar acima de cerca de 40 MW depende do hidrogênio e do dimensionamento:</w:t>
      </w:r>
      <w:r>
        <w:t xml:space="preserve"> </w:t>
      </w:r>
      <w:r>
        <w:t xml:space="preserve">o custo de oportunidade do último MW varia de R$ 172 mil a cerca de R$ 2,0 milhões/(MW·ano) conforme o contrato de fornecimento, e a potência ótima varia de 50 a 57,5 MW com o tamanho do eletrolisador, porque o módulo mercantil do BESS tem como principal função abastecer o eletrolisador fora do período solar;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 regra de suprimento do eletrolisador é a hipótese de maior efeito sobre o lucro:</w:t>
      </w:r>
      <w:r>
        <w:t xml:space="preserve"> </w:t>
      </w:r>
      <w:r>
        <w:t xml:space="preserve">permitir a importação de energia eleva o lucro em cerca de 30% e torna o BESS desnecessário para a produção de hidrogênio, resultado robusto ao custo adicional da energia importada entre R$ 100 e R$ 400/MWh (ganho de 51% a 12%). Com o limite de intensidade de emissões do marco legal (7 kgCO₂/kgH₂), o resultado depende do fator de emissão da rede: com o fator médio do SIN, o limite não restringe a importação, e o resultado é o da importação livre; com o fator marginal, a rede supre no máximo 28% da energia do eletrolisador, o BESS passa a valer mais fora do leilão e a potência ótima cai para 50 MW;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o custo de degradação e a frequência do despacho afetam o lucro e o limiar de entrada, mas pouco a potência ótima</w:t>
      </w:r>
      <w:r>
        <w:t xml:space="preserve">, e a receita fixa e o preço do hidrogênio definem a fronteira entre contratar parte ou toda a potência, com arrependimento assimétrico que favorece contratar mais.</w:t>
      </w:r>
    </w:p>
    <w:p>
      <w:pPr>
        <w:pStyle w:val="FirstParagraph"/>
      </w:pPr>
      <w:r>
        <w:rPr>
          <w:b/>
          <w:bCs/>
        </w:rPr>
        <w:t xml:space="preserve">Método e incertezas: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variação histórica de preço e de geração e a aproximação da decomposição têm efeito pequeno sobre a decisão:</w:t>
      </w:r>
      <w:r>
        <w:t xml:space="preserve"> </w:t>
      </w:r>
      <w:r>
        <w:t xml:space="preserve">os modelos determinístico e estocástico conduzem à mesma potência ótima, o VSS é nulo e o EVPI é de 0,2% do lucro esperado. A condição cíclica semanal da decomposição é inofensiva sem contrato de hidrogênio, mas, com contrato firme, subestima o lucro em até 4% (9% com o tanque de 10 t); com os estados de fronteira da relaxação linear do ano, a decomposição fica, na maior parte das avaliações, a menos de 0,1% do ótimo anual.</w:t>
      </w:r>
    </w:p>
    <w:p>
      <w:pPr>
        <w:pStyle w:val="FirstParagraph"/>
      </w:pPr>
      <w:r>
        <w:t xml:space="preserve">Em conjunto, os resultados indicam que, para um BESS novo, a arbitragem relevante não se dá entre o LRCAP e o mercado de curto prazo na operação, mas na decisão de investimento: a bateria é construída para o leilão, e o lance é determinado pelo seu custo. A produção de hidrogênio, por sua vez, define se o empreendimento híbrido como um todo é viável, e as condições de sua comercialização — preço, volume e critério de qualificação, incluída a metodologia do fator de emissão da rede — são as informações prioritárias para essa avaliação.</w:t>
      </w:r>
    </w:p>
    <w:bookmarkEnd w:id="60"/>
    <w:bookmarkStart w:id="61" w:name="referências"/>
    <w:p>
      <w:pPr>
        <w:pStyle w:val="Heading2"/>
      </w:pPr>
      <w:r>
        <w:t xml:space="preserve">REFERÊNCIAS</w:t>
      </w:r>
    </w:p>
    <w:p>
      <w:pPr>
        <w:pStyle w:val="Referencia"/>
      </w:pPr>
      <w:r>
        <w:t xml:space="preserve">BRASIL. Lei nº 14.948, de 2 de agosto de 2024. Institui o marco legal do hidrogênio de baixa emissão de carbono e dispõe sobre a Política Nacional do Hidrogênio de Baixa Emissão de Carbono. Brasília, DF: Presidência da República, 2024.</w:t>
      </w:r>
    </w:p>
    <w:p>
      <w:pPr>
        <w:pStyle w:val="Referencia"/>
      </w:pPr>
      <w:r>
        <w:t xml:space="preserve">BRASIL. Ministério de Minas e Energia; EPE – EMPRESA DE PESQUISA ENERGÉTICA.</w:t>
      </w:r>
      <w:r>
        <w:t xml:space="preserve"> </w:t>
      </w:r>
      <w:r>
        <w:rPr>
          <w:b/>
          <w:bCs/>
        </w:rPr>
        <w:t xml:space="preserve">Caderno de parâmetros de custos</w:t>
      </w:r>
      <w:r>
        <w:t xml:space="preserve">: geração e transmissão – PDE 2035. Brasília: MME/EPE, nov. 2025.</w:t>
      </w:r>
    </w:p>
    <w:p>
      <w:pPr>
        <w:pStyle w:val="Referencia"/>
      </w:pPr>
      <w:r>
        <w:t xml:space="preserve">CCEE – CÂMARA DE COMERCIALIZAÇÃO DE ENERGIA ELÉTRICA.</w:t>
      </w:r>
      <w:r>
        <w:t xml:space="preserve"> </w:t>
      </w:r>
      <w:r>
        <w:rPr>
          <w:b/>
          <w:bCs/>
        </w:rPr>
        <w:t xml:space="preserve">InfoLeilão Expresso</w:t>
      </w:r>
      <w:r>
        <w:t xml:space="preserve">: 04º LRCAP 2026 – Leilão nº 2/2026-ANEEL. São Paulo: CCEE, mar. 2026b. Disponível em: https://www.ccee.org.br. Acesso em: 3 out. 2026.</w:t>
      </w:r>
    </w:p>
    <w:p>
      <w:pPr>
        <w:pStyle w:val="Referencia"/>
      </w:pPr>
      <w:r>
        <w:t xml:space="preserve">CCEE – CÂMARA DE COMERCIALIZAÇÃO DE ENERGIA ELÉTRICA.</w:t>
      </w:r>
      <w:r>
        <w:t xml:space="preserve"> </w:t>
      </w:r>
      <w:r>
        <w:rPr>
          <w:b/>
          <w:bCs/>
        </w:rPr>
        <w:t xml:space="preserve">InfoLeilão Expresso</w:t>
      </w:r>
      <w:r>
        <w:t xml:space="preserve">: 05º LRCAP 2026 – Leilão nº 3/2026-ANEEL. São Paulo: CCEE, mar. 2026c. Disponível em: https://www.ccee.org.br. Acesso em: 3 out. 2026.</w:t>
      </w:r>
    </w:p>
    <w:p>
      <w:pPr>
        <w:pStyle w:val="Referencia"/>
      </w:pPr>
      <w:r>
        <w:t xml:space="preserve">TERNA.</w:t>
      </w:r>
      <w:r>
        <w:t xml:space="preserve"> </w:t>
      </w:r>
      <w:r>
        <w:rPr>
          <w:b/>
          <w:bCs/>
        </w:rPr>
        <w:t xml:space="preserve">Terna completes first MACSE auction</w:t>
      </w:r>
      <w:r>
        <w:t xml:space="preserve">: 10 GWh of energy storage capacity awarded. Roma: Terna S.p.A., 1 out. 2025. Comunicado de imprensa. Disponível em: https://www.terna.it. Acesso em: 3 out. 2026.</w:t>
      </w:r>
    </w:p>
    <w:bookmarkEnd w:id="61"/>
    <w:bookmarkEnd w:id="62"/>
    <w:sectPr>
      <w:pgSz w:w="11906" w:h="16838"/>
      <w:pgMar w:top="1701" w:right="1134" w:bottom="1134" w:left="1701" w:header="709" w:footer="709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725">
    <w:nsid w:val="00A99725"/>
    <w:multiLevelType w:val="multilevel"/>
    <w:lvl w:ilvl="0">
      <w:start w:val="5"/>
      <w:numFmt w:val="lowerLetter"/>
      <w:lvlText w:val="%1)"/>
      <w:lvlJc w:val="left"/>
      <w:pPr>
        <w:ind w:left="720" w:hanging="360"/>
      </w:pPr>
    </w:lvl>
    <w:lvl w:ilvl="1">
      <w:start w:val="5"/>
      <w:numFmt w:val="lowerLetter"/>
      <w:lvlText w:val="%2)"/>
      <w:lvlJc w:val="left"/>
      <w:pPr>
        <w:ind w:left="1440" w:hanging="360"/>
      </w:pPr>
    </w:lvl>
    <w:lvl w:ilvl="2">
      <w:start w:val="5"/>
      <w:numFmt w:val="lowerLetter"/>
      <w:lvlText w:val="%3)"/>
      <w:lvlJc w:val="left"/>
      <w:pPr>
        <w:ind w:left="2160" w:hanging="360"/>
      </w:pPr>
    </w:lvl>
    <w:lvl w:ilvl="3">
      <w:start w:val="5"/>
      <w:numFmt w:val="lowerLetter"/>
      <w:lvlText w:val="%4)"/>
      <w:lvlJc w:val="left"/>
      <w:pPr>
        <w:ind w:left="2880" w:hanging="360"/>
      </w:pPr>
    </w:lvl>
    <w:lvl w:ilvl="4">
      <w:start w:val="5"/>
      <w:numFmt w:val="lowerLetter"/>
      <w:lvlText w:val="%5)"/>
      <w:lvlJc w:val="left"/>
      <w:pPr>
        <w:ind w:left="3600" w:hanging="360"/>
      </w:pPr>
    </w:lvl>
    <w:lvl w:ilvl="5">
      <w:start w:val="5"/>
      <w:numFmt w:val="lowerLetter"/>
      <w:lvlText w:val="%6)"/>
      <w:lvlJc w:val="left"/>
      <w:pPr>
        <w:ind w:left="4320" w:hanging="360"/>
      </w:pPr>
    </w:lvl>
    <w:lvl w:ilvl="6">
      <w:start w:val="5"/>
      <w:numFmt w:val="lowerLetter"/>
      <w:lvlText w:val="%7)"/>
      <w:lvlJc w:val="left"/>
      <w:pPr>
        <w:ind w:left="5040" w:hanging="360"/>
      </w:pPr>
    </w:lvl>
    <w:lvl w:ilvl="7">
      <w:start w:val="5"/>
      <w:numFmt w:val="lowerLetter"/>
      <w:lvlText w:val="%8)"/>
      <w:lvlJc w:val="left"/>
      <w:pPr>
        <w:ind w:left="5760" w:hanging="360"/>
      </w:pPr>
    </w:lvl>
    <w:lvl w:ilvl="8">
      <w:start w:val="5"/>
      <w:numFmt w:val="lowerLetter"/>
      <w:lvlText w:val="%9)"/>
      <w:lvlJc w:val="left"/>
      <w:pPr>
        <w:ind w:left="6480" w:hanging="360"/>
      </w:pPr>
    </w:lvl>
  </w:abstractNum>
  <w:abstractNum w:abstractNumId="99521">
    <w:nsid w:val="00A99521"/>
    <w:multiLevelType w:val="multilevel"/>
    <w:lvl w:ilvl="0">
      <w:start w:val="1"/>
      <w:numFmt w:val="lowerRoman"/>
      <w:lvlText w:val="%1)"/>
      <w:lvlJc w:val="left"/>
      <w:pPr>
        <w:ind w:left="720" w:hanging="360"/>
      </w:pPr>
    </w:lvl>
    <w:lvl w:ilvl="1">
      <w:start w:val="1"/>
      <w:numFmt w:val="lowerRoman"/>
      <w:lvlText w:val="%2)"/>
      <w:lvlJc w:val="left"/>
      <w:pPr>
        <w:ind w:left="1440" w:hanging="360"/>
      </w:pPr>
    </w:lvl>
    <w:lvl w:ilvl="2">
      <w:start w:val="1"/>
      <w:numFmt w:val="lowerRoman"/>
      <w:lvlText w:val="%3)"/>
      <w:lvlJc w:val="left"/>
      <w:pPr>
        <w:ind w:left="2160" w:hanging="360"/>
      </w:pPr>
    </w:lvl>
    <w:lvl w:ilvl="3">
      <w:start w:val="1"/>
      <w:numFmt w:val="lowerRoman"/>
      <w:lvlText w:val="%4)"/>
      <w:lvlJc w:val="left"/>
      <w:pPr>
        <w:ind w:left="2880" w:hanging="360"/>
      </w:pPr>
    </w:lvl>
    <w:lvl w:ilvl="4">
      <w:start w:val="1"/>
      <w:numFmt w:val="lowerRoman"/>
      <w:lvlText w:val="%5)"/>
      <w:lvlJc w:val="left"/>
      <w:pPr>
        <w:ind w:left="3600" w:hanging="360"/>
      </w:pPr>
    </w:lvl>
    <w:lvl w:ilvl="5">
      <w:start w:val="1"/>
      <w:numFmt w:val="lowerRoman"/>
      <w:lvlText w:val="%6)"/>
      <w:lvlJc w:val="left"/>
      <w:pPr>
        <w:ind w:left="4320" w:hanging="360"/>
      </w:pPr>
    </w:lvl>
    <w:lvl w:ilvl="6">
      <w:start w:val="1"/>
      <w:numFmt w:val="lowerRoman"/>
      <w:lvlText w:val="%7)"/>
      <w:lvlJc w:val="left"/>
      <w:pPr>
        <w:ind w:left="5040" w:hanging="360"/>
      </w:pPr>
    </w:lvl>
    <w:lvl w:ilvl="7">
      <w:start w:val="1"/>
      <w:numFmt w:val="lowerRoman"/>
      <w:lvlText w:val="%8)"/>
      <w:lvlJc w:val="left"/>
      <w:pPr>
        <w:ind w:left="5760" w:hanging="360"/>
      </w:pPr>
    </w:lvl>
    <w:lvl w:ilvl="8">
      <w:start w:val="1"/>
      <w:numFmt w:val="lowerRoman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3">
    <w:abstractNumId w:val="995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paragraph" w:default="1" w:styleId="Normal">
    <w:name w:val="Normal"/>
    <w:qFormat/>
    <w:pPr>
      <w:spacing w:before="0" w:after="0" w:line="360" w:lineRule="auto"/>
      <w:ind w:firstLine="709"/>
      <w:jc w:val="both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styleId="BodyText">
    <w:name w:val="Body Text"/>
    <w:basedOn w:val="Normal"/>
    <w:qFormat/>
    <w:pPr>
      <w:spacing w:before="0" w:after="0" w:line="360" w:lineRule="auto"/>
      <w:ind w:firstLine="709"/>
      <w:jc w:val="both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customStyle="1" w:styleId="FirstParagraph">
    <w:name w:val="First Paragraph"/>
    <w:basedOn w:val="BodyText"/>
    <w:qFormat/>
    <w:pPr>
      <w:spacing w:before="0" w:after="0" w:line="360" w:lineRule="auto"/>
      <w:ind w:firstLine="709"/>
      <w:jc w:val="both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customStyle="1" w:styleId="Compact">
    <w:name w:val="Compact"/>
    <w:basedOn w:val="Normal"/>
    <w:qFormat/>
    <w:pPr>
      <w:spacing w:before="0" w:after="0" w:line="240" w:lineRule="auto"/>
      <w:ind w:firstLine="0"/>
      <w:jc w:val="left"/>
    </w:pPr>
    <w:rPr>
      <w:rFonts w:ascii="Times New Roman" w:hAnsi="Times New Roman" w:eastAsia="Times New Roman" w:cs="Times New Roman"/>
      <w:color w:val="000000"/>
      <w:sz w:val="20"/>
      <w:szCs w:val="20"/>
    </w:rPr>
  </w:style>
  <w:style w:type="paragraph" w:styleId="Heading1">
    <w:name w:val="heading 1"/>
    <w:basedOn w:val="Normal"/>
    <w:qFormat/>
    <w:pPr>
      <w:keepNext/>
      <w:spacing w:before="0" w:after="360" w:line="360" w:lineRule="auto"/>
      <w:ind w:firstLine="0"/>
      <w:jc w:val="left"/>
      <w:outlineLvl w:val="0"/>
    </w:pPr>
    <w:rPr>
      <w:rFonts w:ascii="Times New Roman" w:hAnsi="Times New Roman" w:eastAsia="Times New Roman" w:cs="Times New Roman"/>
      <w:b/>
      <w:bCs/>
      <w:color w:val="000000"/>
      <w:sz w:val="24"/>
      <w:szCs w:val="24"/>
    </w:rPr>
  </w:style>
  <w:style w:type="paragraph" w:styleId="Heading2">
    <w:name w:val="heading 2"/>
    <w:basedOn w:val="Normal"/>
    <w:qFormat/>
    <w:pPr>
      <w:keepNext/>
      <w:spacing w:before="360" w:after="240" w:line="360" w:lineRule="auto"/>
      <w:ind w:firstLine="0"/>
      <w:jc w:val="left"/>
      <w:outlineLvl w:val="1"/>
    </w:pPr>
    <w:rPr>
      <w:rFonts w:ascii="Times New Roman" w:hAnsi="Times New Roman" w:eastAsia="Times New Roman" w:cs="Times New Roman"/>
      <w:b/>
      <w:bCs/>
      <w:color w:val="000000"/>
      <w:sz w:val="24"/>
      <w:szCs w:val="24"/>
    </w:rPr>
  </w:style>
  <w:style w:type="paragraph" w:styleId="Heading3">
    <w:name w:val="heading 3"/>
    <w:basedOn w:val="Normal"/>
    <w:qFormat/>
    <w:pPr>
      <w:keepNext/>
      <w:spacing w:before="240" w:after="240" w:line="360" w:lineRule="auto"/>
      <w:ind w:firstLine="0"/>
      <w:jc w:val="left"/>
      <w:outlineLvl w:val="2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customStyle="1" w:styleId="Legenda">
    <w:name w:val="Legenda"/>
    <w:basedOn w:val="Normal"/>
    <w:qFormat/>
    <w:pPr>
      <w:keepNext/>
      <w:spacing w:before="240" w:after="60" w:line="240" w:lineRule="auto"/>
      <w:ind w:firstLine="0"/>
      <w:jc w:val="center"/>
    </w:pPr>
    <w:rPr>
      <w:rFonts w:ascii="Times New Roman" w:hAnsi="Times New Roman" w:eastAsia="Times New Roman" w:cs="Times New Roman"/>
      <w:color w:val="000000"/>
      <w:sz w:val="20"/>
      <w:szCs w:val="20"/>
    </w:rPr>
  </w:style>
  <w:style w:type="paragraph" w:customStyle="1" w:styleId="Figura">
    <w:name w:val="Figura"/>
    <w:basedOn w:val="Normal"/>
    <w:qFormat/>
    <w:pPr>
      <w:keepNext/>
      <w:spacing w:before="0" w:after="0" w:line="240" w:lineRule="auto"/>
      <w:ind w:firstLine="0"/>
      <w:jc w:val="center"/>
    </w:pPr>
    <w:rPr>
      <w:rFonts w:ascii="Times New Roman" w:hAnsi="Times New Roman" w:eastAsia="Times New Roman" w:cs="Times New Roman"/>
      <w:color w:val="000000"/>
      <w:sz w:val="20"/>
      <w:szCs w:val="20"/>
    </w:rPr>
  </w:style>
  <w:style w:type="paragraph" w:customStyle="1" w:styleId="Fonte">
    <w:name w:val="Fonte"/>
    <w:basedOn w:val="Normal"/>
    <w:qFormat/>
    <w:pPr>
      <w:spacing w:before="60" w:after="240" w:line="240" w:lineRule="auto"/>
      <w:ind w:firstLine="0"/>
      <w:jc w:val="center"/>
    </w:pPr>
    <w:rPr>
      <w:rFonts w:ascii="Times New Roman" w:hAnsi="Times New Roman" w:eastAsia="Times New Roman" w:cs="Times New Roman"/>
      <w:color w:val="000000"/>
      <w:sz w:val="20"/>
      <w:szCs w:val="20"/>
    </w:rPr>
  </w:style>
  <w:style w:type="paragraph" w:customStyle="1" w:styleId="Referencia">
    <w:name w:val="Referencia"/>
    <w:basedOn w:val="Normal"/>
    <w:qFormat/>
    <w:pPr>
      <w:spacing w:before="0" w:after="240" w:line="240" w:lineRule="auto"/>
      <w:ind w:firstLine="0"/>
      <w:jc w:val="left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customStyle="1" w:styleId="NumeroEquacao">
    <w:name w:val="Numero Equacao"/>
    <w:basedOn w:val="Normal"/>
    <w:qFormat/>
    <w:pPr>
      <w:spacing w:before="0" w:after="0" w:line="240" w:lineRule="auto"/>
      <w:ind w:firstLine="0"/>
      <w:jc w:val="right"/>
    </w:pPr>
    <w:rPr>
      <w:rFonts w:ascii="Times New Roman" w:hAnsi="Times New Roman" w:eastAsia="Times New Roman" w:cs="Times New Roman"/>
      <w:color w:val="000000"/>
      <w:sz w:val="24"/>
      <w:szCs w:val="24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32" Target="media/rId32.png" /><Relationship Type="http://schemas.openxmlformats.org/officeDocument/2006/relationships/image" Id="rId41" Target="media/rId41.png" /><Relationship Type="http://schemas.openxmlformats.org/officeDocument/2006/relationships/image" Id="rId45" Target="media/rId45.png" /><Relationship Type="http://schemas.openxmlformats.org/officeDocument/2006/relationships/image" Id="rId48" Target="media/rId48.png" /><Relationship Type="http://schemas.openxmlformats.org/officeDocument/2006/relationships/image" Id="rId37" Target="media/rId37.png" /><Relationship Type="http://schemas.openxmlformats.org/officeDocument/2006/relationships/image" Id="rId17" Target="media/rId17.png" /><Relationship Type="http://schemas.openxmlformats.org/officeDocument/2006/relationships/image" Id="rId27" Target="media/rId27.png" /><Relationship Type="http://schemas.openxmlformats.org/officeDocument/2006/relationships/image" Id="rId21" Target="media/rId21.png" /><Relationship Type="http://schemas.openxmlformats.org/officeDocument/2006/relationships/image" Id="rId55" Target="media/rId55.png" /><Relationship Type="http://schemas.openxmlformats.org/officeDocument/2006/relationships/image" Id="rId52" Target="media/rId52.png" /><Relationship Type="http://schemas.openxmlformats.org/officeDocument/2006/relationships/image" Id="rId13" Target="media/rId1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2026-10-21T13:56:30Z</dcterms:created>
  <dcterms:modified xsi:type="dcterms:W3CDTF">2026-10-21T13:56:30Z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