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34.png" ContentType="image/png"/>
  <Override PartName="/word/media/rId17.png" ContentType="image/png"/>
  <Override PartName="/word/media/rId24.png" ContentType="image/png"/>
  <Override PartName="/word/media/rId52.png" ContentType="image/png"/>
  <Override PartName="/word/media/rId4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(0,19%).3, 4.3.4 e 4.3.7, foram calculados com a fronteira da relaxação.</w:t>
      </w:r>
    </w:p>
    <w:bookmarkEnd w:id="12"/>
    <w:bookmarkStart w:id="23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4.3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bookmarkEnd w:id="21"/>
    <w:bookmarkStart w:id="22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4.5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4.5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2"/>
    <w:bookmarkEnd w:id="23"/>
    <w:bookmarkStart w:id="56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p>
      <w:pPr>
        <w:pStyle w:val="BodyText"/>
      </w:pPr>
      <w:r>
        <w:t xml:space="preserve">A receita de referência, de R$ 600 mil/(MW·ano), é inferior ao lance mínimo de R$ 1,214 milhão calculado na Seção 4.2: com ela, um proponente não construiria o BESS. Os resultados desta seção valem, portanto, para quem já dispõe da bateria, e a curva de oferta da Subseção 4.3.3 fornece a decisão para qualquer receita. Para um BESS construído com receita igual ao lance mínimo, o proponente oferta toda a potência, e a operação é a da Tabela 4.6.</w:t>
      </w:r>
    </w:p>
    <w:p>
      <w:pPr>
        <w:pStyle w:val="Legenda"/>
      </w:pPr>
      <w:r>
        <w:t xml:space="preserve">Tabela 4.6 – Operação média nos cenários com a receita de referência e com a receita igual ao lance mínimo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R$ 600 mil/(MW·ano): 55 MW</w:t>
            </w:r>
          </w:p>
        </w:tc>
        <w:tc>
          <w:tcPr/>
          <w:p>
            <w:pPr>
              <w:pStyle w:val="Compact"/>
            </w:pPr>
            <w:r>
              <w:t xml:space="preserve">R$ 1,214 mi/(MW·ano): 60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(R$ mi/ano)</w:t>
            </w:r>
          </w:p>
        </w:tc>
        <w:tc>
          <w:tcPr/>
          <w:p>
            <w:pPr>
              <w:pStyle w:val="Compact"/>
            </w:pPr>
            <w:r>
              <w:t xml:space="preserve">33,0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operacional sem a receita fixa (R$ mi/ano)</w:t>
            </w:r>
          </w:p>
        </w:tc>
        <w:tc>
          <w:tcPr/>
          <w:p>
            <w:pPr>
              <w:pStyle w:val="Compact"/>
            </w:pPr>
            <w:r>
              <w:t xml:space="preserve">35,1</w:t>
            </w:r>
          </w:p>
        </w:tc>
        <w:tc>
          <w:tcPr/>
          <w:p>
            <w:pPr>
              <w:pStyle w:val="Compact"/>
            </w:pPr>
            <w:r>
              <w:t xml:space="preserve">31,0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total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103,8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30,7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com o eletrolisador ligado</w:t>
            </w:r>
          </w:p>
        </w:tc>
        <w:tc>
          <w:tcPr/>
          <w:p>
            <w:pPr>
              <w:pStyle w:val="Compact"/>
            </w:pPr>
            <w:r>
              <w:t xml:space="preserve">7.459</w:t>
            </w:r>
          </w:p>
        </w:tc>
        <w:tc>
          <w:tcPr/>
          <w:p>
            <w:pPr>
              <w:pStyle w:val="Compact"/>
            </w:pPr>
            <w:r>
              <w:t xml:space="preserve">3.458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Partidas do eletrolisador por ano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 do módulo mercantil (GWh/ano)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Fonte"/>
      </w:pPr>
      <w:r>
        <w:t xml:space="preserve">Fonte: elaborado pelo autor. Média dos cinco cenários; lucros sem O&amp;M fixo, uso da rede e tributos.</w:t>
      </w:r>
    </w:p>
    <w:p>
      <w:pPr>
        <w:pStyle w:val="BodyText"/>
      </w:pPr>
      <w:r>
        <w:t xml:space="preserve">Com a oferta de toda a potência, o módulo mercantil desaparece e, com ele, o suprimento noturno do eletrolisador: a produção de hidrogênio cai 15%, o eletrolisador passa a operar só nas horas de sol, com metade das horas de operação e uma partida por dia, e a energia que antes ia para o eletrolisador à noite passa a ser exportada ao MCP. O lucro operacional cai R$ 4,1 milhões por ano, mais do que compensado pelos R$ 39,8 milhões de receita fixa adicional. As conclusões sobre a operação desta seção referem-se, assim, ao BESS disponível; para o BESS a construir, a operação de referência é a de 60 MW.</w:t>
      </w:r>
    </w:p>
    <w:bookmarkStart w:id="27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as/estocastico_unife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4.7.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4.7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4.8):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4.4(b):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7"/>
    <w:bookmarkStart w:id="28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4.8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4.8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Avaliação fora da amostra.</w:t>
      </w:r>
      <w:r>
        <w:t xml:space="preserve"> </w:t>
      </w:r>
      <w:r>
        <w:t xml:space="preserve">Como os cinco anos são uma amostra pequena e o VSS e o EVPI são medidos dentro dela, a decisão foi avaliada também fora da amostra: para cada ano, a potência foi escolhida, na grade de 2,5 MW da curva de oferta, com os outros quatro anos, e avaliada no ano deixado de fora. Com a receita de referência, a decisão só muda quando 2021 é retirado da amostra, caindo de 55 para 52,5 MW; nesse caso, contratar 52,5 MW em 2021 custaria R$ 572 mil a menos do que a decisão com os cinco anos, pois, na crise hídrica, o ótimo daquele ano é contratar toda a potência. Nos demais anos, a decisão com quatro anos coincide com a de cinco. A perda média fora da amostra, em relação à decisão ótima de cada ano, é de R$ 259 mil por ano (0,38% do lucro esperado), da mesma ordem do EVPI. Com receitas de R$ 330 mil, R$ 830 mil e R$ 1,0 milhão/(MW·ano), a perda média fica entre R$ 36 mil e R$ 342 mil por ano, e a decisão varia no máximo um passo da grade. A decisão é, portanto, robusta à composição da amostra; o ano que mais a influencia é 2021, o de preços mais altos.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4.5(b),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28"/>
    <w:bookmarkStart w:id="32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curva_ofe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4.5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2"/>
    <w:bookmarkStart w:id="33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4.9 resume, para a receita fixa de referência, a potência ótima, o lucro e a operação média de cada caso.</w:t>
      </w:r>
    </w:p>
    <w:p>
      <w:pPr>
        <w:pStyle w:val="Legenda"/>
      </w:pPr>
      <w:r>
        <w:t xml:space="preserve">Tabela 4.9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4.2).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3"/>
    <w:bookmarkStart w:id="37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4.6 e a Tabela 4.10 comparam esses casos com o caso de referência, em que a importação é vedada, e com o de importação livre.</w:t>
      </w:r>
    </w:p>
    <w:p>
      <w:pPr>
        <w:pStyle w:val="Legenda"/>
      </w:pPr>
      <w:r>
        <w:t xml:space="preserve">Figura 4.6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emisso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4.2):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37"/>
    <w:bookmarkStart w:id="41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4.7 e a Tabela 4.11 apresentam a curva de oferta do caso de referência para 50, 150 e 365 despachos por ano.</w:t>
      </w:r>
    </w:p>
    <w:p>
      <w:pPr>
        <w:pStyle w:val="Legenda"/>
      </w:pPr>
      <w:r>
        <w:t xml:space="preserve">Figura 4.7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curva_oferta_ciclo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4.11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4.7(b)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41"/>
    <w:bookmarkStart w:id="48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4.8 e a Tabela 4.12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4.8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as/curva_oferta_degrad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4.8(b):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4.9 e a Tabela 4.13 comparam eletrolisadores de 10, 17,5 e 25 MW, mantida a usina FV de 50 MWp.</w:t>
      </w:r>
    </w:p>
    <w:p>
      <w:pPr>
        <w:pStyle w:val="Legenda"/>
      </w:pPr>
      <w:r>
        <w:t xml:space="preserve">Figura 4.9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eletrolis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4.13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4.4).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4.2).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8"/>
    <w:bookmarkStart w:id="55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4.10.</w:t>
      </w:r>
    </w:p>
    <w:p>
      <w:pPr>
        <w:pStyle w:val="Legenda"/>
      </w:pPr>
      <w:r>
        <w:t xml:space="preserve">Figura 4.10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4.11).</w:t>
      </w:r>
    </w:p>
    <w:p>
      <w:pPr>
        <w:pStyle w:val="Legenda"/>
      </w:pPr>
      <w:r>
        <w:t xml:space="preserve">Figura 4.11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4.10 e 4.11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5"/>
    <w:bookmarkEnd w:id="56"/>
    <w:bookmarkStart w:id="57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57"/>
    <w:bookmarkStart w:id="58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8"/>
    <w:bookmarkEnd w:id="59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2026-10-20T11:48:45Z</dcterms:created>
  <dcterms:modified xsi:type="dcterms:W3CDTF">2026-10-20T11:48:45Z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