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9.png" ContentType="image/png"/>
  <Override PartName="/word/media/rId38.png" ContentType="image/png"/>
  <Override PartName="/word/media/rId42.png" ContentType="image/png"/>
  <Override PartName="/word/media/rId45.png" ContentType="image/png"/>
  <Override PartName="/word/media/rId34.png" ContentType="image/png"/>
  <Override PartName="/word/media/rId17.png" ContentType="image/png"/>
  <Override PartName="/word/media/rId24.png" ContentType="image/png"/>
  <Override PartName="/word/media/rId52.png" ContentType="image/png"/>
  <Override PartName="/word/media/rId4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 comparação da composição, porém, não isola o efeito de um único fator, pois os dois casos diferem em quatro hipóteses: os anos de preço (2025 contra 2021 a 2025), a base de irradiância (ERA5 de 2023, reposicionada no calendário de 2025, contra SARAH-3), a regra de despacho do ONS (perfil fixo contra perfil baseado no PLD) e o custo de partida do eletrolisador (nulo contra R$ 500 por partida). Embora a série ERA5 apresente fator de capacidade FV ligeiramente inferior ao da média dos cenários SARAH-3 (16,9% contra 17,5%), o caso determinístico produz mais hidrogênio. Duas causas contribuem para isso: no modelo estocástico, os picos de PLD do cenário de 2021, que superam o valor da energia no eletrolisador, tornam a exportação ao MCP mais vantajosa em parte das horas, e o custo de partida desestimula ligamentos curtos do eletrolisador. A coincidência das potências ótimas, apesar dessas diferenças,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Nos casos sem contrato, os dois tratamentos diferem em no máximo 0,05% no lucro esperado. Por isso, as curvas de oferta e as avaliações com potência fixa deste capítulo adotam, para cada caso, potência e cenário, o maior dos dois limites inferiores — com os estados de fronteira da relaxação ou com a condição cíclica semanal —, pois ambos correspondem a operações viáveis do ano; o limite superior é o da relaxação. Nos casos sem contrato, a condição cíclica fica até 0,05% acima; nos casos com contrato, a relaxação fica de 2% a 4% acima. Nessas avaliações, a recarga do módulo LRCAP acima da custeada pela CONCAP é apurada no ano inteiro, e não por bloco: com 50 ou 150 despachos por ano, a apuração por bloco cobraria como excedente a recarga de um despacho realizado no fim de uma semana, que cai no bloco seguinte, sem a injeção correspondente, o que reduziria o lucro em R$ 3 mil a R$ 4 mil/(MW·ano). Com essas duas regras, a diferença entre os limites inferior e superior fica abaixo de 0,1% até 55 MW nos casos sem contrato, exceto com o eletrolisador de 25 MW (0,19%).</w:t>
      </w:r>
    </w:p>
    <w:p>
      <w:pPr>
        <w:pStyle w:val="BodyText"/>
      </w:pPr>
      <w:r>
        <w:rPr>
          <w:b/>
          <w:bCs/>
        </w:rPr>
        <w:t xml:space="preserve">Dias representativos.</w:t>
      </w:r>
      <w:r>
        <w:t xml:space="preserve"> </w:t>
      </w:r>
      <w:r>
        <w:t xml:space="preserve">Uma alternativa frequente na literatura é reduzir o ano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dias representativos, obtidos por agrupamento das séries diárias, e resolver o modelo só para esses dias, ponderados pelo número de dias de cada grupo. Para medir o erro dessa abordagem, o MILP de 24 h foi resolvido para cada dia dos cinco cenários e cada potência da grade da curva de oferta, com condição cíclica diária, e os dias de cada ano foram agrupados por</w:t>
      </w:r>
      <w:r>
        <w:t xml:space="preserve"> </w:t>
      </w:r>
      <w:r>
        <w:rPr>
          <w:i/>
          <w:iCs/>
        </w:rPr>
        <w:t xml:space="preserve">k-medoids</w:t>
      </w:r>
      <w:r>
        <w:t xml:space="preserve"> </w:t>
      </w:r>
      <w:r>
        <w:t xml:space="preserve">sobre os perfis horários padronizados de PLD e de fator de capacidade FV, com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6, 12, 24 e 48. A Tabela 4.2 compara as curvas de oferta resultantes com a dos blocos semanais.</w:t>
      </w:r>
    </w:p>
    <w:p>
      <w:pPr>
        <w:pStyle w:val="Legenda"/>
      </w:pPr>
      <w:r>
        <w:t xml:space="preserve">Tabela 4.2 – Curva de oferta com blocos semanais, blocos diários e dias representativos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Sem contrato: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Sem contrato: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Sem contrato: potência ótima (MW)</w:t>
            </w:r>
          </w:p>
        </w:tc>
        <w:tc>
          <w:tcPr/>
          <w:p>
            <w:pPr>
              <w:pStyle w:val="Compact"/>
            </w:pPr>
            <w:r>
              <w:t xml:space="preserve">Contrato 3 t/dia: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Contrato 3 t/dia: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Contrato 3 t/dia: potência ótima (MW)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Blocos semanais (referência)</w:t>
            </w:r>
          </w:p>
        </w:tc>
        <w:tc>
          <w:tcPr/>
          <w:p>
            <w:pPr>
              <w:pStyle w:val="Compact"/>
            </w:pPr>
            <w:r>
              <w:t xml:space="preserve">45,03</w:t>
            </w:r>
          </w:p>
        </w:tc>
        <w:tc>
          <w:tcPr/>
          <w:p>
            <w:pPr>
              <w:pStyle w:val="Compact"/>
            </w:pPr>
            <w:r>
              <w:t xml:space="preserve">14,05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39,38</w:t>
            </w:r>
          </w:p>
        </w:tc>
        <w:tc>
          <w:tcPr/>
          <w:p>
            <w:pPr>
              <w:pStyle w:val="Compact"/>
            </w:pPr>
            <w:r>
              <w:t xml:space="preserve">14,43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Blocos diários (todos os dias)</w:t>
            </w:r>
          </w:p>
        </w:tc>
        <w:tc>
          <w:tcPr/>
          <w:p>
            <w:pPr>
              <w:pStyle w:val="Compact"/>
            </w:pPr>
            <w:r>
              <w:t xml:space="preserve">44,93</w:t>
            </w:r>
          </w:p>
        </w:tc>
        <w:tc>
          <w:tcPr/>
          <w:p>
            <w:pPr>
              <w:pStyle w:val="Compact"/>
            </w:pPr>
            <w:r>
              <w:t xml:space="preserve">13,95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34,78</w:t>
            </w:r>
          </w:p>
        </w:tc>
        <w:tc>
          <w:tcPr/>
          <w:p>
            <w:pPr>
              <w:pStyle w:val="Compact"/>
            </w:pPr>
            <w:r>
              <w:t xml:space="preserve">10,15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dias representativos</w:t>
            </w:r>
          </w:p>
        </w:tc>
        <w:tc>
          <w:tcPr/>
          <w:p>
            <w:pPr>
              <w:pStyle w:val="Compact"/>
            </w:pPr>
            <w:r>
              <w:t xml:space="preserve">46,57</w:t>
            </w:r>
          </w:p>
        </w:tc>
        <w:tc>
          <w:tcPr/>
          <w:p>
            <w:pPr>
              <w:pStyle w:val="Compact"/>
            </w:pPr>
            <w:r>
              <w:t xml:space="preserve">14,12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36,23</w:t>
            </w:r>
          </w:p>
        </w:tc>
        <w:tc>
          <w:tcPr/>
          <w:p>
            <w:pPr>
              <w:pStyle w:val="Compact"/>
            </w:pPr>
            <w:r>
              <w:t xml:space="preserve">8,59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dias representativos</w:t>
            </w:r>
          </w:p>
        </w:tc>
        <w:tc>
          <w:tcPr/>
          <w:p>
            <w:pPr>
              <w:pStyle w:val="Compact"/>
            </w:pPr>
            <w:r>
              <w:t xml:space="preserve">45,67</w:t>
            </w:r>
          </w:p>
        </w:tc>
        <w:tc>
          <w:tcPr/>
          <w:p>
            <w:pPr>
              <w:pStyle w:val="Compact"/>
            </w:pPr>
            <w:r>
              <w:t xml:space="preserve">13,92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34,76</w:t>
            </w:r>
          </w:p>
        </w:tc>
        <w:tc>
          <w:tcPr/>
          <w:p>
            <w:pPr>
              <w:pStyle w:val="Compact"/>
            </w:pPr>
            <w:r>
              <w:t xml:space="preserve">8,51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dias representativos</w:t>
            </w:r>
          </w:p>
        </w:tc>
        <w:tc>
          <w:tcPr/>
          <w:p>
            <w:pPr>
              <w:pStyle w:val="Compact"/>
            </w:pPr>
            <w:r>
              <w:t xml:space="preserve">45,86</w:t>
            </w:r>
          </w:p>
        </w:tc>
        <w:tc>
          <w:tcPr/>
          <w:p>
            <w:pPr>
              <w:pStyle w:val="Compact"/>
            </w:pPr>
            <w:r>
              <w:t xml:space="preserve">14,13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35,25</w:t>
            </w:r>
          </w:p>
        </w:tc>
        <w:tc>
          <w:tcPr/>
          <w:p>
            <w:pPr>
              <w:pStyle w:val="Compact"/>
            </w:pPr>
            <w:r>
              <w:t xml:space="preserve">9,14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 dias representativos</w:t>
            </w:r>
          </w:p>
        </w:tc>
        <w:tc>
          <w:tcPr/>
          <w:p>
            <w:pPr>
              <w:pStyle w:val="Compact"/>
            </w:pPr>
            <w:r>
              <w:t xml:space="preserve">45,35</w:t>
            </w:r>
          </w:p>
        </w:tc>
        <w:tc>
          <w:tcPr/>
          <w:p>
            <w:pPr>
              <w:pStyle w:val="Compact"/>
            </w:pPr>
            <w:r>
              <w:t xml:space="preserve">14,01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34,83</w:t>
            </w:r>
          </w:p>
        </w:tc>
        <w:tc>
          <w:tcPr/>
          <w:p>
            <w:pPr>
              <w:pStyle w:val="Compact"/>
            </w:pPr>
            <w:r>
              <w:t xml:space="preserve">9,55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Sem contrato de hidrogênio, a operação se repete em ciclos diários, e os blocos diários reproduzem os semanais a menos de 0,2%. O agrupamento acrescenta um erro no nível do lucro, superestimado em 0,7% a 3,4% (R$ 0,3 milhão a R$ 1,5 milhão por ano), pois os medoides suavizam a variabilidade dos dias que representam, mas não na perda de lucro com a potência contratada, que difere em até 1,5%: a potência ótima, a receita mínima de entrada (R$ 74 mil a R$ 75 mil, contra R$ 76 mil/(MW·ano)) e o custo marginal do último MW (R$ 0,89 milhão a R$ 0,91 milhão, contra R$ 0,90 milhão/MW) praticamente não mudam. Com contrato de 3 t/dia, o resultado se inverte. Sem poder levar hidrogênio e energia de um dia para outro, o modelo diário subestima o lucro em 8% a 12% e o custo de oportunidade da potência contratada em 30% a 40% (R$ 8,5 milhões a R$ 10,2 milhões, contra R$ 14,4 milhões por ano com 60 MW), pois não enxerga que, com o módulo mercantil menor, cresce o déficit de entrega nas sequências de dias nublados; a potência ótima sobe para 57,5 MW e o custo marginal do último MW cai de R$ 2,0 milhões para R$ 1,3 milhão a R$ 1,4 milhão/MW. Mais dias representativos não corrigem o erro, porque ele vem da perda da cronologia entre dias, e não do agrupamento. Os blocos semanais, ligados pela fronteira da relaxação do ano, preservam essa cronologia e ficam a menos de 0,1% do limite superior até 55 MW; essa é a razão da escolha da decomposição em blocos cronológicos em vez de dias representativos (Seção 3.6).</w:t>
      </w:r>
    </w:p>
    <w:bookmarkEnd w:id="12"/>
    <w:bookmarkStart w:id="23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4.3 e na Figura 4.2.</w:t>
      </w:r>
    </w:p>
    <w:p>
      <w:pPr>
        <w:pStyle w:val="Legenda"/>
      </w:pPr>
      <w:r>
        <w:t xml:space="preserve">Tabela 4.3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−546 (−722 a −321)</w:t>
            </w:r>
          </w:p>
        </w:tc>
        <w:tc>
          <w:tcPr/>
          <w:p>
            <w:pPr>
              <w:pStyle w:val="Compact"/>
            </w:pPr>
            <w:r>
              <w:t xml:space="preserve">−454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−584 (−760 a −359)</w:t>
            </w:r>
          </w:p>
        </w:tc>
        <w:tc>
          <w:tcPr/>
          <w:p>
            <w:pPr>
              <w:pStyle w:val="Compact"/>
            </w:pPr>
            <w:r>
              <w:t xml:space="preserve">−502</w:t>
            </w:r>
          </w:p>
        </w:tc>
        <w:tc>
          <w:tcPr/>
          <w:p>
            <w:pPr>
              <w:pStyle w:val="Compact"/>
            </w:pPr>
            <w:r>
              <w:t xml:space="preserve">−4,6%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−564 (−739 a −338)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−3,8%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de 10 t</w:t>
            </w:r>
          </w:p>
        </w:tc>
        <w:tc>
          <w:tcPr/>
          <w:p>
            <w:pPr>
              <w:pStyle w:val="Compact"/>
            </w:pPr>
            <w:r>
              <w:t xml:space="preserve">835</w:t>
            </w:r>
          </w:p>
        </w:tc>
        <w:tc>
          <w:tcPr/>
          <w:p>
            <w:pPr>
              <w:pStyle w:val="Compact"/>
            </w:pPr>
            <w:r>
              <w:t xml:space="preserve">71,1</w:t>
            </w:r>
          </w:p>
        </w:tc>
        <w:tc>
          <w:tcPr/>
          <w:p>
            <w:pPr>
              <w:pStyle w:val="Compact"/>
            </w:pPr>
            <w:r>
              <w:t xml:space="preserve">−599 (−779 a −359)</w:t>
            </w:r>
          </w:p>
        </w:tc>
        <w:tc>
          <w:tcPr/>
          <w:p>
            <w:pPr>
              <w:pStyle w:val="Compact"/>
            </w:pPr>
            <w:r>
              <w:t xml:space="preserve">−507</w:t>
            </w:r>
          </w:p>
        </w:tc>
        <w:tc>
          <w:tcPr/>
          <w:p>
            <w:pPr>
              <w:pStyle w:val="Compact"/>
            </w:pPr>
            <w:r>
              <w:t xml:space="preserve">−3,9%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107,0</w:t>
            </w:r>
          </w:p>
        </w:tc>
        <w:tc>
          <w:tcPr/>
          <w:p>
            <w:pPr>
              <w:pStyle w:val="Compact"/>
            </w:pPr>
            <w:r>
              <w:t xml:space="preserve">−355 (−538 a −116)</w:t>
            </w:r>
          </w:p>
        </w:tc>
        <w:tc>
          <w:tcPr/>
          <w:p>
            <w:pPr>
              <w:pStyle w:val="Compact"/>
            </w:pPr>
            <w:r>
              <w:t xml:space="preserve">−214</w:t>
            </w:r>
          </w:p>
        </w:tc>
        <w:tc>
          <w:tcPr/>
          <w:p>
            <w:pPr>
              <w:pStyle w:val="Compact"/>
            </w:pPr>
            <w:r>
              <w:t xml:space="preserve">3,6%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80,7</w:t>
            </w:r>
          </w:p>
        </w:tc>
        <w:tc>
          <w:tcPr/>
          <w:p>
            <w:pPr>
              <w:pStyle w:val="Compact"/>
            </w:pPr>
            <w:r>
              <w:t xml:space="preserve">−526 (−708 a −288)</w:t>
            </w:r>
          </w:p>
        </w:tc>
        <w:tc>
          <w:tcPr/>
          <w:p>
            <w:pPr>
              <w:pStyle w:val="Compact"/>
            </w:pPr>
            <w:r>
              <w:t xml:space="preserve">−431</w:t>
            </w:r>
          </w:p>
        </w:tc>
        <w:tc>
          <w:tcPr/>
          <w:p>
            <w:pPr>
              <w:pStyle w:val="Compact"/>
            </w:pPr>
            <w:r>
              <w:t xml:space="preserve">−1,7%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−539 (−715 a −313)</w:t>
            </w:r>
          </w:p>
        </w:tc>
        <w:tc>
          <w:tcPr/>
          <w:p>
            <w:pPr>
              <w:pStyle w:val="Compact"/>
            </w:pPr>
            <w:r>
              <w:t xml:space="preserve">−445</w:t>
            </w:r>
          </w:p>
        </w:tc>
        <w:tc>
          <w:tcPr/>
          <w:p>
            <w:pPr>
              <w:pStyle w:val="Compact"/>
            </w:pPr>
            <w:r>
              <w:t xml:space="preserve">−2,8%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−451 (−635 a −212)</w:t>
            </w:r>
          </w:p>
        </w:tc>
        <w:tc>
          <w:tcPr/>
          <w:p>
            <w:pPr>
              <w:pStyle w:val="Compact"/>
            </w:pPr>
            <w:r>
              <w:t xml:space="preserve">−336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−531 (−711 a −298)</w:t>
            </w:r>
          </w:p>
        </w:tc>
        <w:tc>
          <w:tcPr/>
          <w:p>
            <w:pPr>
              <w:pStyle w:val="Compact"/>
            </w:pPr>
            <w:r>
              <w:t xml:space="preserve">−441</w:t>
            </w:r>
          </w:p>
        </w:tc>
        <w:tc>
          <w:tcPr/>
          <w:p>
            <w:pPr>
              <w:pStyle w:val="Compact"/>
            </w:pPr>
            <w:r>
              <w:t xml:space="preserve">−2,1%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−533 (−708 a −307)</w:t>
            </w:r>
          </w:p>
        </w:tc>
        <w:tc>
          <w:tcPr/>
          <w:p>
            <w:pPr>
              <w:pStyle w:val="Compact"/>
            </w:pPr>
            <w:r>
              <w:t xml:space="preserve">−436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711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−506 (−659 a −322)</w:t>
            </w:r>
          </w:p>
        </w:tc>
        <w:tc>
          <w:tcPr/>
          <w:p>
            <w:pPr>
              <w:pStyle w:val="Compact"/>
            </w:pPr>
            <w:r>
              <w:t xml:space="preserve">−430</w:t>
            </w:r>
          </w:p>
        </w:tc>
        <w:tc>
          <w:tcPr/>
          <w:p>
            <w:pPr>
              <w:pStyle w:val="Compact"/>
            </w:pPr>
            <w:r>
              <w:t xml:space="preserve">−3,5%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873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−612 (−813 a −340)</w:t>
            </w:r>
          </w:p>
        </w:tc>
        <w:tc>
          <w:tcPr/>
          <w:p>
            <w:pPr>
              <w:pStyle w:val="Compact"/>
            </w:pPr>
            <w:r>
              <w:t xml:space="preserve">−512</w:t>
            </w:r>
          </w:p>
        </w:tc>
        <w:tc>
          <w:tcPr/>
          <w:p>
            <w:pPr>
              <w:pStyle w:val="Compact"/>
            </w:pPr>
            <w:r>
              <w:t xml:space="preserve">−3,4%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</w:tbl>
    <w:p>
      <w:pPr>
        <w:pStyle w:val="Fonte"/>
      </w:pPr>
      <w:r>
        <w:t xml:space="preserve">Fonte: elaborado pelo autor. Investimento (sem os juros durante a construção), TIR e preço de equilíbrio do H₂ (H₂ eq., à taxa de 12,1%) com investimento central; o VPL inclui os juros durante a construção (um ano) e as trocas de pilhas do eletrolisador; entre parênteses, VPL a 12,1% com investimento alto e baixo. O lucro operacional exclui a degradação do módulo LRCAP, coberta pelo O&amp;M fixo, e o fluxo desconta o O&amp;M fixo, o uso da rede e o PIS/Cofins de 3,65% sobre a receita bruta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central é economicamente viável. No caso de referência, o investimento de R$ 792 milhões — R$ 212 milhões na usina FV, R$ 380 milhões no BESS, R$ 189 milhões no eletrolisador e R$ 11 milhões no tanque de hidrogênio —, acrescido de R$ 47 milhões de juros durante a construção, gera fluxo anual de R$ 43,1 milhões, após R$ 18,3 milhões de O&amp;M fixo, R$ 7,9 milhões de uso da rede e R$ 2,7 milhões de PIS/Cofins, e a TIR real é negativa (−3,1%). O preço do hidrogênio que tornaria o VPL nulo à taxa de 12,1% é de cerca de R$ 116/kg, mais que o triplo do valor adotado (R$ 89/kg à taxa de 8%). O caso de importação de energia, o de maior lucro, tem VPL negativo em toda a faixa de investimento e nas duas taxas, mesmo com a troca de pilhas que o seu fator de capacidade de 0,92 exige no oitavo ano (R$ 30 milhões em valor presente); no cenário mais favorável, com investimento baixo e taxa de 8%, o VPL é de −R$ 86 milhões. Apenas com custo adicional de importação de R$ 100/MWh, investimento baixo e taxa de 8% o VPL se torna positivo, de R$ 34 milhões, o único caso viável dentre os avaliados,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ganho, de R$ 35,5 milhões por ano depois do PIS/Cofins sobre a receita fixa, não cobre o custo anual equivalente do BESS, de R$ 70,1 milhões à taxa de 12,1% com investimento central — R$ 59,3 milhões de capital, incluídos os juros durante a construção,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4.4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4.4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1.106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  <w:tc>
          <w:tcPr/>
          <w:p>
            <w:pPr>
              <w:pStyle w:val="Compact"/>
            </w:pPr>
            <w:r>
              <w:t xml:space="preserve">1.322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897 (60 MW)</w:t>
            </w:r>
          </w:p>
        </w:tc>
        <w:tc>
          <w:tcPr/>
          <w:p>
            <w:pPr>
              <w:pStyle w:val="Compact"/>
            </w:pPr>
            <w:r>
              <w:t xml:space="preserve">984 (60 MW)</w:t>
            </w:r>
          </w:p>
        </w:tc>
        <w:tc>
          <w:tcPr/>
          <w:p>
            <w:pPr>
              <w:pStyle w:val="Compact"/>
            </w:pPr>
            <w:r>
              <w:t xml:space="preserve">1.072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R$ 1,214 milhão/(MW·ano) e corresponde ao custo anual equivalente do BESS por MW, acrescido do PIS/Cofins sobre a receita fixa (Figura 4.3(b)): R$ 989 mil de capital, dos quais R$ 55 mil de juros durante a construção, R$ 158 mil de O&amp;M com reposição de módulos, R$ 22 mil de acréscimo de uso da rede e R$ 45 mil de tributos sobre a receita.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46% o preço médio obtido por termelétricas existentes no LRCAP de março de 2026 (R$ 831 mil/(MW·ano)) — mesmo no cenário mais favorável, com investimento baixo e taxa de 8%, ele fica em R$ 897 mil — e é muito inferior ao das termelétricas e hidrelétricas do leilão anterior (R$ 2,33 milhões/(MW·ano)). Essa comparação, porém, é apenas indicativa, pois os produtos não são equivalentes. As termelétricas do LRCAP, além da receita fixa, são ressarcidas do custo variável unitário (CVU) da energia que geram quando despachadas e podem sustentar a potência por tempo indeterminado; a bateria entrega a potência por, no máximo, 4 h a cada despacho e arca com as perdas e o consumo auxiliar além da folga de recarga custeada pela CONCAP. A receita fixa por MW·ano não mede, assim, o custo total de cada fonte para o consumidor nem sua contribuição para a confiabilidade do sistema; uma comparação rigorosa exigiria o custo por MW de capacidade equivalente, que depende da contribuição de cada tecnologia para o atendimento da ponta, e está fora do escopo deste trabalho. Com essa ressalva, o lance situa-se entre o preço das usinas existentes e o da expansão térmica e hidrelétrica.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4.5.</w:t>
      </w:r>
    </w:p>
    <w:p>
      <w:pPr>
        <w:pStyle w:val="Legenda"/>
      </w:pPr>
      <w:r>
        <w:t xml:space="preserve">Tabela 4.5 – Lance mínimo para a construção do BESS com uma hipótese alterada de cada vez em relação ao caso central (investimento de referência de R$ 5.500/kW para 4 h, taxa de 12,1%, PIS/Cofins de 3,65%, receita reajustada pelo IPCA e implantação em um ano)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1.106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1.322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1.473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1.203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1.232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1.327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1.404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sem a folga de recarga da CONCAP</w:t>
            </w:r>
          </w:p>
        </w:tc>
        <w:tc>
          <w:tcPr/>
          <w:p>
            <w:pPr>
              <w:pStyle w:val="Compact"/>
            </w:pPr>
            <w:r>
              <w:t xml:space="preserve">1.229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PIS/Cofins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PIS/Cofins não cumulativo (9,25%)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sem reajuste pelo IPCA (4% a.a.)</w:t>
            </w:r>
          </w:p>
        </w:tc>
        <w:tc>
          <w:tcPr/>
          <w:p>
            <w:pPr>
              <w:pStyle w:val="Compact"/>
            </w:pPr>
            <w:r>
              <w:t xml:space="preserve">1.515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juros durante a construção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Implantação em 2 anos</w:t>
            </w:r>
          </w:p>
        </w:tc>
        <w:tc>
          <w:tcPr/>
          <w:p>
            <w:pPr>
              <w:pStyle w:val="Compact"/>
            </w:pPr>
            <w:r>
              <w:t xml:space="preserve">1.276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Reposição explícita de módulos somada ao O&amp;M (1 ciclo/dia)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Despacho de 2 ciclos/dia (reposição acima da de 1 ciclo/dia)</w:t>
            </w:r>
          </w:p>
        </w:tc>
        <w:tc>
          <w:tcPr/>
          <w:p>
            <w:pPr>
              <w:pStyle w:val="Compact"/>
            </w:pPr>
            <w:r>
              <w:t xml:space="preserve">1.278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1.222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Despacho na ponta da carga líquida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(−19% com a taxa após impostos, que ignora o imposto de renda), a regra de cobrança do uso da rede (+16% se o armazenamento pagar também a TUST de consumo e +9% sem compartilhar a conexão), o investimento de referência (±9%), o O&amp;M (±5% para ±1 ponto percentual) e o prazo de implantação (−5% sem juros durante a construção e +5% com dois anos de implantação). A parcela do custo proporcional à energia (±3%), a disponibilidade de 97% (+3%), a TUST regional (±1%) e o consumo auxiliar pesam pouco: com 2% da potência, ou sem a folga de recarga custeada pela CONCAP, o lance sobe 1%, de modo que a interpretação adotada para o consumo auxiliar (Seção 3.8.2) não é determinante. A taxa de desconto foi também variada de forma contínua: com o BESS dimensionado para o contrato, o lance mínimo é de R$ 838 mil/(MW·ano) a 6%, R$ 936 mil a 8%, R$ 1,041 milhão a 10%, R$ 1,160 milhão a 12,1% e R$ 1,271 milhão a 14%, isto é, cerca de R$ 54 mil, ou 5%, por ponto percentual. Um custo de capital menor, como o obtido com financiamento de longo prazo, reduziria o lance nessa proporção. O investimento de referência merece uma comparação com o mercado internacional. Os R$ 5.500/kW da EPE, tomados como custo de um sistema de 4 h, equivalem a cerca de US$ 254/kWh, acima das referências recentes: a pesquisa de custos da BloombergNEF de 2025 indica média mundial de US$ 110/kWh para sistemas completos de 4 h, de US$ 177/kWh na Europa e de US$ 219/kWh nos Estados Unidos (ENERGY-STORAGE.NEWS, 2025), e a Ember estima US$ 125/kWh para projetos de grande porte fora da China e dos Estados Unidos, incluídas a instalação e a conexão, em outubro de 2025 (EMBER, 2025). Com esses valores, convertidos pela PTAX e mantidas as demais premissas, o lance mínimo do BESS dimensionado para o contrato seria de R$ 501 mil a R$ 570 mil/(MW·ano) com os custos mundiais, de R$ 806 mil com o europeu e de R$ 998 mil com o norte-americano, contra R$ 1,160 milhão com o da EPE. A diferença decorre, em parte, dos tributos sobre a importação de equipamentos e da escala ainda pequena do mercado brasileiro, que o valor da EPE pode refletir; mas sua magnitude indica que o custo de referência é a premissa de maior efeito sobre o lance, superior à da duração de referência, e que, com custos próximos dos internacionais, o lance ficaria abaixo do preço obtido pelas termelétricas existentes no LRCAP de 2026. O compartilhamento da conexão é uma vantagem do arranjo híbrido: sem ele, a bateria pagaria a TUST sobre toda a sua potência, e o lance seria R$ 113 mil/(MW·ano) maior. Duas premissas de natureza tributária e contratual também pesam: o regime não cumulativo do PIS/Cofins, sem créditos, eleva o lance em 6%, e a falta de reajuste da receita fixa pelo IPCA, com inflação de 4% a.a., em 25%, pois a receita perderia valor real ao longo dos 15 anos; esta última é a premissa de maior efeito e deve ser confirmada no edital.</w:t>
      </w:r>
    </w:p>
    <w:p>
      <w:pPr>
        <w:pStyle w:val="BodyText"/>
      </w:pPr>
      <w:r>
        <w:t xml:space="preserve">O modelo supõe capacidade de energia constante nos 15 anos, mantida pela reposição de módulos incluída no O&amp;M fixo do BESS. Para verificar essa hipótese, a reposição foi modelada explicitamente (Seção 3.5): a capacidade cai por ciclagem, 20% ao longo de 5.000 ciclos completos (faixa de 4.000 a 6.000), e por calendário, 1% ao ano (faixa de 0,5% a 2%), e são comprados módulos, ao preço da parcela do investimento que escala com a energia (R$ 825/kWh), sempre que a capacidade cairia abaixo da necessária para entregar 4 h na potência do BESS (280,7 MWh para 60 MW). Com um despacho por dia, o BESS de referência (300 MWh) faz 342 ciclos equivalentes por ano e repõe 86 MWh em 15 anos, a partir do segundo ano; o custo anual equivalente é de R$ 4,3 milhões, 46% do O&amp;M fixo do BESS (32% a 73% nas faixas de vida e de calendário). No BESS dimensionado para o contrato (288 MWh), cuja folga inicial é de apenas 2,6%, a reposição começa no primeiro ano e custa 60% do O&amp;M. O O&amp;M de referência comporta, portanto, a reposição com um ciclo por dia, e somá-la ao O&amp;M, o que contaria a reposição duas vezes, elevaria o lance em no máximo 6%. Com dois despachos por dia, o máximo admitido pela Portaria, a reposição passa a 85% do O&amp;M do BESS de referência (71% a 113%) e a 102% no dimensionado, e já não caberia no O&amp;M; cobrando apenas a reposição acima da de um ciclo diário, o lance sobe 5%. A frequência do despacho, irrelevante para a operação (Seção 4.3.6), afeta assim o lance por meio do desgaste, e convém que o proponente a considere ao precificar o risco de um uso mais intenso que o diário.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 e com a receita reajustada pelo IPCA, o lance mínimo situa-se, assim, entre R$ 1,11 milhão e R$ 1,47 milhão/(MW·ano), e sua incerteza decorre principalmente da duração de referência do custo do BESS, da regra de cobrança do uso da rede, do investimento, do regime tributário, do O&amp;M e do prazo de implantação; sem reajuste, chegaria a R$ 1,52 milhão. Com a importação de energia, o lance não depende do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na faixa avaliada, pois o proponente oferta toda a potência e a rede supre o eletrolisador com ou sem o BESS.</w:t>
      </w:r>
    </w:p>
    <w:bookmarkEnd w:id="21"/>
    <w:bookmarkStart w:id="22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4.6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4.6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1.182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1.296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R$ 2,0 milhões por ano ao lucro, mas essa capacidade custa R$ 4,9 milhões por ano entre capital, O&amp;M e uso da rede; já os 12 MWh além do necessário para 60 MW custam R$ 32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R$ 1,182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R$ 1,160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R$ 1,296 milhão/(MW·ano), R$ 136 mil acima do híbrido: a TUST de R$ 131 mil/(MW·ano), acrescida do PIS/Cofins.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p>
      <w:pPr>
        <w:pStyle w:val="BodyText"/>
      </w:pPr>
      <w:r>
        <w:t xml:space="preserve">Essa vantagem, porém, pressupõe que a usina FV com o eletrolisador seja construída. Sozinha, sem o BESS, essa usina exige R$ 412 milhões de investimento, com o tanque de hidrogênio, mais R$ 24 milhões de juros durante a construção, e gera fluxo anual de R$ 18,6 milhões, após O&amp;M, uso da rede e PIS/Cofins, o que resulta em VPL de −R$ 311 milhões à taxa de 12,1% (−R$ 269 milhões a 8%). Com o hidrogênio a R$ 35/kg, portanto, a usina que hospeda a bateria não se justificaria por si. O lance de R$ 1,160 milhão/(MW·ano) vale para um proponente cuja usina FV exista ou se justifique por outras razões — por exemplo, uma usina já em operação ou com a energia vendida em contrato —; para um proponente que constrói só a bateria, a referência é o lance da bateria isolada, de R$ 1,296 milhão/(MW·ano).</w:t>
      </w:r>
    </w:p>
    <w:bookmarkEnd w:id="22"/>
    <w:bookmarkEnd w:id="23"/>
    <w:bookmarkStart w:id="56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p>
      <w:pPr>
        <w:pStyle w:val="BodyText"/>
      </w:pPr>
      <w:r>
        <w:t xml:space="preserve">A receita de referência, de R$ 600 mil/(MW·ano), é inferior ao lance mínimo de R$ 1,214 milhão calculado na Seção 4.2: com ela, um proponente não construiria o BESS. Os resultados desta seção valem, portanto, para quem já dispõe da bateria, e a curva de oferta da Subseção 4.3.3 fornece a decisão para qualquer receita. Para um BESS construído com receita igual ao lance mínimo, o proponente oferta toda a potência, e a operação é a da Tabela 4.7.</w:t>
      </w:r>
    </w:p>
    <w:p>
      <w:pPr>
        <w:pStyle w:val="Legenda"/>
      </w:pPr>
      <w:r>
        <w:t xml:space="preserve">Tabela 4.7 – Operação média nos cenários com a receita de referência e com a receita igual ao lance mínimo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R$ 600 mil/(MW·ano): 55 MW</w:t>
            </w:r>
          </w:p>
        </w:tc>
        <w:tc>
          <w:tcPr/>
          <w:p>
            <w:pPr>
              <w:pStyle w:val="Compact"/>
            </w:pPr>
            <w:r>
              <w:t xml:space="preserve">R$ 1,214 mi/(MW·ano): 60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(R$ mi/ano)</w:t>
            </w:r>
          </w:p>
        </w:tc>
        <w:tc>
          <w:tcPr/>
          <w:p>
            <w:pPr>
              <w:pStyle w:val="Compact"/>
            </w:pPr>
            <w:r>
              <w:t xml:space="preserve">33,0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operacional sem a receita fixa (R$ mi/ano)</w:t>
            </w:r>
          </w:p>
        </w:tc>
        <w:tc>
          <w:tcPr/>
          <w:p>
            <w:pPr>
              <w:pStyle w:val="Compact"/>
            </w:pPr>
            <w:r>
              <w:t xml:space="preserve">35,1</w:t>
            </w:r>
          </w:p>
        </w:tc>
        <w:tc>
          <w:tcPr/>
          <w:p>
            <w:pPr>
              <w:pStyle w:val="Compact"/>
            </w:pPr>
            <w:r>
              <w:t xml:space="preserve">31,0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total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103,8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30,7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Horas com o eletrolisador ligado</w:t>
            </w:r>
          </w:p>
        </w:tc>
        <w:tc>
          <w:tcPr/>
          <w:p>
            <w:pPr>
              <w:pStyle w:val="Compact"/>
            </w:pPr>
            <w:r>
              <w:t xml:space="preserve">7.459</w:t>
            </w:r>
          </w:p>
        </w:tc>
        <w:tc>
          <w:tcPr/>
          <w:p>
            <w:pPr>
              <w:pStyle w:val="Compact"/>
            </w:pPr>
            <w:r>
              <w:t xml:space="preserve">3.458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Partidas do eletrolisador por ano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358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Descarga do módulo mercantil (GWh/ano)</w:t>
            </w:r>
          </w:p>
        </w:tc>
        <w:tc>
          <w:tcPr/>
          <w:p>
            <w:pPr>
              <w:pStyle w:val="Compact"/>
            </w:pPr>
            <w:r>
              <w:t xml:space="preserve">8,1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Fonte"/>
      </w:pPr>
      <w:r>
        <w:t xml:space="preserve">Fonte: elaborado pelo autor. Média dos cinco cenários; lucros sem O&amp;M fixo, uso da rede e tributos.</w:t>
      </w:r>
    </w:p>
    <w:p>
      <w:pPr>
        <w:pStyle w:val="BodyText"/>
      </w:pPr>
      <w:r>
        <w:t xml:space="preserve">Com a oferta de toda a potência, o módulo mercantil desaparece e, com ele, o suprimento noturno do eletrolisador: a produção de hidrogênio cai 15%, o eletrolisador passa a operar só nas horas de sol, com metade das horas de operação e uma partida por dia, e a energia que antes ia para o eletrolisador à noite passa a ser exportada ao MCP. O lucro operacional cai R$ 4,1 milhões por ano, mais do que compensado pelos R$ 39,8 milhões de receita fixa adicional. As conclusões sobre a operação desta seção referem-se, assim, ao BESS disponível; para o BESS a construir, a operação de referência é a de 60 MW.</w:t>
      </w:r>
    </w:p>
    <w:bookmarkStart w:id="27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as/estocastico_unife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4.8.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4.8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 foi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;</m:t>
        </m:r>
        <m:r>
          <m:t> 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 e tolerância de 0,01%,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inferior a 0,01% em todos os casos. 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o CVaR coincide com o lucro do pior ano, 2022. À medida que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aumenta, a potência ótima recua de 54,4 MW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 para 53,4 MW (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 1), 52,7 MW (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) e 52,1 MW (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). Entre os extremos, o lucro esperado cai R$ 81 mil por ano (0,12%) e o CVaR sobe R$ 85 mil (0,13%). Há, portanto, troca entre risco e retorno, mas ela é pequena. O CVaR desloca a decisão em direção ao ótimo do pior ano, de 51,5 MW (Tabela 4.9):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, o lucro de 2022 fica a apenas R$ 1,4 mil do máximo possível naquele cenário. A troca é pequena porque a dispersão entre os cenários pouco depende da decisão de contratação, como se observa na Figura 4.4(b): as barras de cada decisão se deslocam praticamente em paralelo entre os anos. Com a tolerância de 0,1% usada inicialmente, a fronteira parecia degenerar em um único ponto (53,4 MW para todos os pesos), pois as diferenças entre os seus pontos, de até R$ 85 mil por ano, são da mesma ordem que essa tolerância, cerca de R$ 68 mil.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7"/>
    <w:bookmarkStart w:id="28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4.9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4.9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p>
      <w:pPr>
        <w:pStyle w:val="BodyText"/>
      </w:pPr>
      <w:r>
        <w:rPr>
          <w:b/>
          <w:bCs/>
        </w:rPr>
        <w:t xml:space="preserve">Avaliação fora da amostra.</w:t>
      </w:r>
      <w:r>
        <w:t xml:space="preserve"> </w:t>
      </w:r>
      <w:r>
        <w:t xml:space="preserve">Como os cinco anos são uma amostra pequena e o VSS e o EVPI são medidos dentro dela, a decisão foi avaliada também fora da amostra: para cada ano, a potência foi escolhida, na grade de 2,5 MW da curva de oferta, com os outros quatro anos, e avaliada no ano deixado de fora. Com a receita de referência, a decisão só muda quando 2021 é retirado da amostra, caindo de 55 para 52,5 MW; nesse caso, contratar 52,5 MW em 2021 custaria R$ 572 mil a menos do que a decisão com os cinco anos, pois, na crise hídrica, o ótimo daquele ano é contratar toda a potência. Nos demais anos, a decisão com quatro anos coincide com a de cinco. A perda média fora da amostra, em relação à decisão ótima de cada ano, é de R$ 259 mil por ano (0,38% do lucro esperado), da mesma ordem do EVPI. Com receitas de R$ 330 mil, R$ 830 mil e R$ 1,0 milhão/(MW·ano), a perda média fica entre R$ 36 mil e R$ 342 mil por ano, e a decisão varia no máximo um passo da grade. A decisão é, portanto, robusta à composição da amostra; o ano que mais a influencia é 2021, o de preços mais altos.</w:t>
      </w:r>
    </w:p>
    <w:p>
      <w:pPr>
        <w:pStyle w:val="BodyText"/>
      </w:pPr>
      <w:r>
        <w:rPr>
          <w:b/>
          <w:bCs/>
        </w:rPr>
        <w:t xml:space="preserve">Previsão perfeita dentro do ano.</w:t>
      </w:r>
      <w:r>
        <w:t xml:space="preserve"> </w:t>
      </w:r>
      <w:r>
        <w:t xml:space="preserve">O VSS e o EVPI tratam apenas da variação entre anos; dentro de cada cenário, a operação é otimizada com conhecimento antecipado das séries (Seção 3.10, hipótese a). Para medir esse viés, o ano de 2025 foi operado também em horizonte rolante: a cada hora, o MILP da Seção 3.4 é resolvido numa janela de 48 h, com o PLD conhecido (publicado na véspera), o perfil de despacho do ONS, a geração FV da hora medida e, nas horas seguintes, prevista por persistência (a da mesma hora do dia anterior), a partir dos estados reais do módulo mercantil, do tanque e do eletrolisador; apenas a decisão da primeira hora é executada, e o lucro é apurado com os dados reais. Com a geração FV conhecida, a janela de 48 h reproduz o lucro de previsão perfeita (diferença de +0,02%, dentro da precisão da decomposição), de modo que o viés decorre apenas do erro de previsão. Com a previsão por persistência, o lucro operacional cai R$ 13 mil por ano (−0,03%) com 30 MW contratados, R$ 188 mil (−0,54%) com 55 MW e nada com 60 MW. O viés é nulo com 60 MW porque, sem módulo mercantil, não há energia a deslocar no tempo e a operação independe da previsão; é pequeno com 30 MW porque o módulo mercantil, de 156 MWh, tem folga para absorver o erro; e é maior com 55 MW, quando o módulo, de 36 MWh, é escasso e cada erro de previsão desloca energia que o eletrolisador usaria à noite. Com previsão imperfeita, o eletrolisador parte 163 vezes no ano com 55 MW, contra 75 na previsão perfeita, menos de uma vez a cada dois dias.</w:t>
      </w:r>
    </w:p>
    <w:p>
      <w:pPr>
        <w:pStyle w:val="BodyText"/>
      </w:pPr>
      <w:r>
        <w:t xml:space="preserve">Três consequências decorrem desse resultado. Primeiro, o viés é muito menor do que o de 18% obtido por García-Miguel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para uma usina eólica com eletrolisador e bateria no mercado do dia seguinte dinamarquês, em que o erro de previsão do vento é maior e os desvios são penalizados; no MCP, o PLD é conhecido na véspera e não há penalidade por desvio. Segundo, ao superestimar o lucro com 55 MW e não com 60 MW, a previsão perfeita superestima o custo de oportunidade dos últimos 5 MW em cerca de R$ 38 mil/(MW·ano), cerca de 5% do valor da Figura 4.5(b), sem alterar a potência ótima para a receita de referência. Terceiro, o lance mínimo de um BESS a construir não é afetado, pois, no lance, a potência ofertada é a do BESS inteiro, em que o viés é nulo. A persistência é a previsão mais simples possível; com uma previsão melhor, o viés seria ainda menor.</w:t>
      </w:r>
    </w:p>
    <w:bookmarkEnd w:id="28"/>
    <w:bookmarkStart w:id="32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mil/(MW·ano), dos quais R$ 73 mil correspondem à degradação do módulo LRCAP (R$ 50/MWh sobre cerca de 1.461 MWh/MW injetados por ano) e apenas R$ 3 mil à perda de lucro no MCP e no hidrogênio,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as/curva_ofe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nos cinco casos da Figura 4.5 (R$ 76 mil a R$ 97 mil/(MW·ano)) e não supera R$ 300 mil/(MW·ano) em nenhum dos casos avaliados,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2"/>
    <w:bookmarkStart w:id="33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4.10 resume, para a receita fixa de referência, a potência ótima, o lucro e a operação média de cada caso.</w:t>
      </w:r>
    </w:p>
    <w:p>
      <w:pPr>
        <w:pStyle w:val="Legenda"/>
      </w:pPr>
      <w:r>
        <w:t xml:space="preserve">Tabela 4.10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Custo adicional da energia importada.</w:t>
      </w:r>
      <w:r>
        <w:t xml:space="preserve"> </w:t>
      </w:r>
      <w:r>
        <w:t xml:space="preserve">O custo adicional de R$ 250/MWh é uma hipótese agregada de uso da rede, encargos e tributos (Seção 3.8.4). Com R$ 100/MWh, o lucro esperado na receita de referência sobe para R$ 102,6 milhões por ano, 51% acima do caso sem importação, com 95 GWh importados e fator de capacidade de 0,93; com R$ 400/MWh, cai para R$ 76,6 milhões, ainda 12% acima, com 68 GWh importados, fator de capacidade de 0,79 e ótimo em 57,5 MW. A conclusão de que a importação eleva o lucro e reduz o papel do BESS no suprimento do eletrolisador é, portanto, robusta nessa faixa, mas a magnitude do ganho depende fortemente do custo da energia importada, que deve ser apurado para o ponto de conexão e o enquadramento tarifário do empreendimento. Só com R$ 100/MWh, investimento baixo e taxa de 8% o empreendimento teria VPL positivo (Tabela 4.3).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3"/>
    <w:bookmarkStart w:id="37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limiar de emissões europeu, sem as exigências de adicionalidade e de correlação temporal e geográfica do Regulamento Delegado (UE) 2023/1184 (Seção 3.4.5). Para cada limite, consideram-se o fator de emissão horário médio do SIN e o fator marginal de uma termelétrica a gás natural (Seção 3.5). A Figura 4.6 e a Tabela 4.11 comparam esses casos com o caso de referência, em que a importação é vedada, e com o de importação livre.</w:t>
      </w:r>
    </w:p>
    <w:p>
      <w:pPr>
        <w:pStyle w:val="Legenda"/>
      </w:pPr>
      <w:r>
        <w:t xml:space="preserve">Figura 4.6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as/curva_oferta_emisso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4.11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R$ 1,214 milhão/(MW·ano) com o BESS de referência e em R$ 1,160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4.3): à taxa de 12,1%, o VPL passa de −R$ 546 milhões no caso de referência para −R$ 531 milhões com o limite de 7 kgCO₂/kgH₂ e fator marginal e para −R$ 450 milhões com fator médio, e o preço de equilíbrio do hidrogênio cai de R$ 116/kg para R$ 87/kg e R$ 62/kg, respectivamente. Com o fator marginal, o ganho de lucro é parcialmente consumido pela troca de pilhas, que o fator de capacidade mais alto do eletrolisador antecipa para o 12º ano.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bookmarkEnd w:id="37"/>
    <w:bookmarkStart w:id="41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4.7 e a Tabela 4.12 apresentam a curva de oferta do caso de referência para 50, 150 e 365 despachos por ano.</w:t>
      </w:r>
    </w:p>
    <w:p>
      <w:pPr>
        <w:pStyle w:val="Legenda"/>
      </w:pPr>
      <w:r>
        <w:t xml:space="preserve">Figura 4.7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as/curva_oferta_ciclo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4.7(b)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p>
      <w:pPr>
        <w:pStyle w:val="BodyText"/>
      </w:pPr>
      <w:r>
        <w:t xml:space="preserve">O critério de escolha das horas de descarga também é desconhecido. O perfil do caso de referência descarrega no bloco de quatro horas de maior PLD após o período solar; como alternativa, avaliou-se um perfil que descarrega na ponta da carga líquida do SIN e recarrega nas horas de menor carga líquida da janela de recarga (Seção 3.7.2). Entre 2021 e 2025, a carga líquida média foi de 56 a 59 GW, e sua ponta ocorreu sobretudo entre 18 h e 22 h, como a do PLD: os dois perfis coincidem em 83% a 94% das horas de descarga, conforme o ano, e o PLD médio nas horas de descarga difere em menos de R$ 1/MWh. O resultado é que a curva de oferta não se altera: o lucro operacional esperado difere do caso de referência em menos de R$ 60 por ano em todas as potências, valor da ordem da tolerância do</w:t>
      </w:r>
      <w:r>
        <w:t xml:space="preserve"> </w:t>
      </w:r>
      <w:r>
        <w:rPr>
          <w:i/>
          <w:iCs/>
        </w:rPr>
        <w:t xml:space="preserve">solver</w:t>
      </w:r>
      <w:r>
        <w:t xml:space="preserve">, e a potência ótima (55 MW), a receita mínima de entrada (R$ 76 mil/(MW·ano)) e o lance mínimo (Tabela 4.5) são os mesmos. Isso decorre da separação entre os módulos: a energia do módulo LRCAP é liquidada pela CONCAP, e o perfil afeta o empreendedor apenas pela degradação, que depende do número de ciclos e não das horas em que ocorrem, e pelo limite do ponto de conexão, que não se mostrou ativo. Assim, o resultado é robusto ao critério de despacho do ONS, desde que o número de ciclos seja mantido e a recarga ocorra dentro da janela solar.</w:t>
      </w:r>
    </w:p>
    <w:bookmarkEnd w:id="41"/>
    <w:bookmarkStart w:id="48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4.8 e a Tabela 4.13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4.8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as/curva_oferta_degradaca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4.13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4.8(b):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4.9 e a Tabela 4.14 comparam eletrolisadores de 10, 17,5 e 25 MW, mantida a usina FV de 50 MWp.</w:t>
      </w:r>
    </w:p>
    <w:p>
      <w:pPr>
        <w:pStyle w:val="Legenda"/>
      </w:pPr>
      <w:r>
        <w:t xml:space="preserve">Figura 4.9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eletrolisado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4.14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R$ 1,179 milhão para R$ 1,159 milhão/(MW·ano) (Tabela 4.5). A potência ótima para a receita de referência permanece em 55 MW. O tanque maior, porém, não se paga: os 8 t adicionais custam R$ 43 milhões, ou R$ 6,8 milhões por ano à taxa de 12,1% com os juros durante a construção, contra o acréscimo de R$ 1,6 milhão no lucro, e o VPL do empreendimento piora de −R$ 564 milhões para −R$ 599 milhões (Tabela 4.3). A redução do lance com o tanque de 10 t só se aplica, assim, a um proponente que já disponha do tanque.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48"/>
    <w:bookmarkStart w:id="55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à taxa central de 12,1% a.a. em 15 anos resulta em R$ 738 mil a R$ 886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4.10.</w:t>
      </w:r>
    </w:p>
    <w:p>
      <w:pPr>
        <w:pStyle w:val="Legenda"/>
      </w:pPr>
      <w:r>
        <w:t xml:space="preserve">Figura 4.10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4.11).</w:t>
      </w:r>
    </w:p>
    <w:p>
      <w:pPr>
        <w:pStyle w:val="Legenda"/>
      </w:pPr>
      <w:r>
        <w:t xml:space="preserve">Figura 4.11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4.10 e 4.11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5"/>
    <w:bookmarkEnd w:id="56"/>
    <w:bookmarkStart w:id="57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R$ 1,16 milhão/(MW·ano) com a bateria dimensionada para o contrato</w:t>
      </w:r>
      <w:r>
        <w:t xml:space="preserve"> </w:t>
      </w:r>
      <w:r>
        <w:t xml:space="preserve">(R$ 1,21 milhão com o BESS de referência), com investimento de referência de R$ 5.500/kW para 4 h, taxa de 12,1% antes de impostos, um ano de implantação com juros durante a construção, PIS/Cofins de 3,65% e receita fixa reajustada pelo IPCA; varia de R$ 1,11 milhão a R$ 1,47 milhão/(MW·ano) com o BESS de referência, conforme a duração de referência do custo da bateria, a regra de cobrança do uso da rede, o investimento, o regime tributário, o O&amp;M, o prazo de implantação e a disponibilidade, e chegaria a R$ 1,52 milhão se a receita fixa não fosse reajustada; com custos de BESS próximos dos internacionais de 2025 (US$ 110 a 219/kWh, contra cerca de US$ 254/kWh implícitos no valor da EPE), cairia para R$ 0,50 milhão a R$ 1,00 milhão; corresponde ao custo anual equivalente do BESS por MW acrescido dos tributos sobre a receita (Equação (3.47)) e supera o preço obtido por termelétricas existentes no LRCAP de 2026 (R$ 831 mil); com a taxa após impostos, que ignora o imposto de renda, cairia para R$ 936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conexão, condicionado à existência da usina:</w:t>
      </w:r>
      <w:r>
        <w:t xml:space="preserve"> </w:t>
      </w:r>
      <w:r>
        <w:t xml:space="preserve">uma bateria isolada teria lance de R$ 1,30 milhão/(MW·ano), R$ 136 mil acima do híbrido, mas a usina FV com o eletrolisador que hospeda a bateria tem, sozinha, VPL de −R$ 311 milhões; o lance do híbrido vale, portanto, para uma usina que exista ou se justifique por outras razões. As hipóteses sobre o hidrogênio alteram pouco o lance (redução de até 5%, no contrato firme de 3 t/dia com tanque de 10 t, efeito que depende da multa contratual adotada; o tanque maior, porém, custa mais do que acrescenta ao lucro); essas hipóteses determinam, porém, a viabilidade do empreendimento como um todo: com os parâmetros centrais, nenhum caso se paga, e o preço de equilíbrio do hidrogênio no caso de referência é de cerca de R$ 116/kg;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R$ 70,1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hidrogênio, resultado robusto ao custo adicional da energia importada entre R$ 100 e R$ 400/MWh (ganho de 51% a 12%).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57"/>
    <w:bookmarkStart w:id="58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8"/>
    <w:bookmarkEnd w:id="59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34" Target="media/rId34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52" Target="media/rId52.png" /><Relationship Type="http://schemas.openxmlformats.org/officeDocument/2006/relationships/image" Id="rId49" Target="media/rId4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2026-10-20T16:54:51Z</dcterms:created>
  <dcterms:modified xsi:type="dcterms:W3CDTF">2026-10-20T16:54:51Z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