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decisão de oferta no leilão — a curva de oferta, a viabilidade econômica e o lance mínimo —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Quando o BESS ainda será construído — situação prevista na Portaria, que trata da contratação de novos sistemas de armazenamento —, essas decisões são precedidas pela decisão de investimento: construir ou não a bateria e, portanto, qual a menor receita fixa, ou lance mínimo, que justifica a construção. O trabalho considera as duas situações: a de um proponente que precisa construir o BESS, foco principal da análise, e a de um proponente que já dispõe dele, para o qual se determina quanto da capacidade contratar no leilão.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3.8.4); para o BESS a construir, avalia-se ainda a bateria dimensionada para o contrato do leilão (Seção 3.8.3);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3.8.2).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 Ressalta-se que essa divisão é uma interpretação da norma: a Portaria exige que toda a potência contratada esteja disponível ao ONS e que a energia do sistema contratado seja liquidada em favor da CONCAP, e admite o compartilhamento da conexão, mas não trata expressamente da contratação de parte de uma instalação, com a parcela remanescente operada no mercado sob medição individualizada. A interpretação respeita as duas exigências — o módulo mercantil não recebe receita do leilão, e o módulo LRCAP não gera receita fora dele —, mas sua aceitação deve ser confirmada no edital e nos procedimentos do ONS e da CCEE. Se a divisão não for admitida, deixa de valer a curva de oferta escalonada de um BESS existente (Seção 3.8.1), mas não o lance mínimo de um BESS dimensionado para o contrato (Seção 3.8.3), que não tem módulo mercantil e não depende dessa hipótese.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 No limite de emissões do hidrogênio (Seção 3.4.5),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denota o conjunto de semanas do horizonte, cada qual tratada como o conjunto de seus intervalos.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por partida do eletrolisador</w:t>
            </w:r>
          </w:p>
        </w:tc>
        <w:tc>
          <w:tcPr/>
          <w:p>
            <w:pPr>
              <w:pStyle w:val="Compact"/>
            </w:pPr>
            <w:r>
              <w:t xml:space="preserve">R$/partida</w:t>
            </w:r>
          </w:p>
        </w:tc>
        <w:tc>
          <w:tcPr/>
          <w:p>
            <w:pPr>
              <w:pStyle w:val="Compact"/>
            </w:pPr>
            <w:r>
              <w:t xml:space="preserve">0 (determinístico); 500 (estocástico)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 (hipótese; Seção 3.5)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 (uso da rede, encargos e tributos; Seção 3.8.4)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 (sensibilidade: 100 e 400)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Fator de emissão da energia da rede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kgCO₂/MWh</w:t>
            </w:r>
          </w:p>
        </w:tc>
        <w:tc>
          <w:tcPr/>
          <w:p>
            <w:pPr>
              <w:pStyle w:val="Compact"/>
            </w:pPr>
            <w:r>
              <w:t xml:space="preserve">série (Seção 3.5) ou 449 (marginal)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Limite de intensidade de emissões do hidrogênio</w:t>
            </w:r>
          </w:p>
        </w:tc>
        <w:tc>
          <w:tcPr/>
          <w:p>
            <w:pPr>
              <w:pStyle w:val="Compact"/>
            </w:pPr>
            <w:r>
              <w:t xml:space="preserve">kgCO₂/kgH₂</w:t>
            </w:r>
          </w:p>
        </w:tc>
        <w:tc>
          <w:tcPr/>
          <w:p>
            <w:pPr>
              <w:pStyle w:val="Compact"/>
            </w:pPr>
            <w:r>
              <w:t xml:space="preserve">sem limite (referência); 7 ou 3,4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f</m:t>
                  </m:r>
                </m:e>
                <m:sup>
                  <m:r>
                    <m:t>p</m:t>
                  </m:r>
                  <m:r>
                    <m:t>v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Emissões atribuídas à energia FV e às demais etapas da produção de H₂</w:t>
            </w:r>
          </w:p>
        </w:tc>
        <w:tc>
          <w:tcPr/>
          <w:p>
            <w:pPr>
              <w:pStyle w:val="Compact"/>
            </w:pPr>
            <w:r>
              <w:t xml:space="preserve">kgCO₂/MWh; kgCO₂/kg</w:t>
            </w:r>
          </w:p>
        </w:tc>
        <w:tc>
          <w:tcPr/>
          <w:p>
            <w:pPr>
              <w:pStyle w:val="Compact"/>
            </w:pPr>
            <w:r>
              <w:t xml:space="preserve">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Partida do eletrolisador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p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t</m:t>
                        </m:r>
                      </m:sup>
                    </m:sSup>
                  </m:e>
                </m:nary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ao custo de partida do eletrolisador,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(3.5). O perfil é calculado uma única vez para o ano civil inteiro, com condição cíclica no ano —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igual ao estado ao fim do ano —, e cada bloco da decomposição da Seção 3.6 recebe o trecho correspondente. Desse modo, o módulo inicia cada bloco no estado deixado pelo dia anterior, e a energia de recarga repõe exatamente a energia descarregada dividida pela eficiência do ciclo: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isto é, uma multa igual ao preço por kg não entregue. Esse valor não deve ser lido como ressarcimento do produto: se o comprador repuser o hidrogênio com outro fornecedor ao mesmo preço, seu prejuízo direto é nulo, pois ele deixa de pagar o empreendedor, e uma indenização desse tipo corresponderia apenas à diferença entre o preço de reposição e o do contrato. A multa adotada representa, antes, uma cláusula de firmeza, que remunera o custo da interrupção para um comprador que depende da entrega diária. Como o kg não entregue também deixa de ser vendido, seu custo efetivo para o empreendedor é a soma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, de R$ 70/kg, e cada MWh entregue ao eletrolisador para evitar o déficit passa a valer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R$ 1.245/MWh, o dobro do valor sem contrato. Os casos com contrato representam, portanto, um contrato praticamente firme, e o valor do BESS no seu cumprimento depende diretamente de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rPr>
          <w:b/>
          <w:bCs/>
        </w:rPr>
        <w:t xml:space="preserve">Limite de emissões do hidrogênio.</w:t>
      </w:r>
      <w:r>
        <w:t xml:space="preserve"> </w:t>
      </w:r>
      <w:r>
        <w:t xml:space="preserve">No caso de referência, a vedação à importação (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assegura que o hidrogênio seja produzido apenas com energia renovável local. O marco legal do hidrogênio de baixa emissão de carbono, porém, qualifica o hidrogênio pela intensidade de emissões de gases de efeito estufa, apurada por análise de ciclo de vida, com valor inicial de até 7 kgCO₂eq/kgH₂, mantido até 2030 (BRASIL, 2024). Para representar esse critério, o modelo admite, como alternativa à vedação, um limite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à intensidade de emissões do hidrogênio. A energia importada pode ser destinada apenas ao eletrolisador, no mesmo intervalo, e é integralmente atribuída ao hidrogênio (Equação (3.20)); em cada semana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, as emissões atribuídas ao hidrogênio não podem exceder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vezes a sua produção (Equação (3.21)):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t> </m:t>
                        </m:r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f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v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e</m:t>
                                </m:r>
                                <m:r>
                                  <m:t>l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i</m:t>
                                </m:r>
                                <m:r>
                                  <m:t>m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c</m:t>
                            </m:r>
                          </m:sup>
                        </m:sSup>
                        <m:r>
                          <m:t> </m:t>
                        </m:r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r>
                  <m:t>L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é o fator de emissão da energia da rede no intervalo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 </w:t>
      </w:r>
      <w:r>
        <w:t xml:space="preserve">é o fator atribuído à energia FV, consumida diretamente ou após o armazenamento no módulo mercantil, e</w:t>
      </w:r>
      <w:r>
        <w:t xml:space="preserve"> </w:t>
      </w:r>
      <m:oMath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</m:oMath>
      <w:r>
        <w:t xml:space="preserve"> </w:t>
      </w:r>
      <w:r>
        <w:t xml:space="preserve">representa as emissões das demais etapas por kg de hidrogênio. Pela Equação (3.16), com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 restrição equivale a limitar o fator de emissão médio da energia do eletrolisador, em cada semana, a</w:t>
      </w:r>
      <w:r>
        <w:t xml:space="preserve"> </w:t>
      </w:r>
      <m:oMath>
        <m:r>
          <m:t>L</m:t>
        </m:r>
        <m:r>
          <m:t> 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/</m:t>
        </m:r>
        <m:r>
          <m:t>1000</m:t>
        </m:r>
      </m:oMath>
      <w:r>
        <w:t xml:space="preserve">: 127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e 62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 Cada MWh de origem FV consumido pelo eletrolisador abre espaço, assim, para a importação de uma fração de MWh da rede. A restrição é linear e não introduz variáveis binárias; com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ela reproduz a vedação à importação. A janela semanal coincide com os blocos da decomposição (Seção 3.6.2), de modo que a restrição pertence integralmente a cada subproblema. O valor de 3,4 kgCO₂/kgH₂ corresponde aproximadamente ao limiar de emissões europeu para combustíveis renováveis de origem não biológica, de redução de 70% em relação ao comparador fóssil de 94 gCO₂eq/MJ (UNIÃO EUROPEIA, 2023b), e é avaliado como sensibilidade. Esse caso reproduz apenas o limiar de emissões, e não o critério europeu completo: para que a energia da rede seja contabilizada como renovável, o Regulamento Delegado (UE) 2023/1184 exige, além do limiar, contratos com instalações renováveis novas (adicionalidade) e correlação temporal e geográfica entre a produção renovável e o consumo do eletrolisador, salvo em zonas de mercado com mais de 90% de energia renovável ou com baixa intensidade de emissões (UNIÃO EUROPEIA, 2023a). Sem essas exigências, a energia importada da rede só tem a sua intensidade de emissões limitada.</w:t>
      </w:r>
    </w:p>
    <w:p>
      <w:pPr>
        <w:pStyle w:val="BodyText"/>
      </w:pPr>
      <w:r>
        <w:t xml:space="preserve">O modelo resultante, composto pela função objetivo da Equação (3.1) e pelas restrições das Equações (3.3) a (3.21),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dia, e o limite de emissões, uma restrição por intervalo e uma por semana.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3.8.3.</w:t>
      </w:r>
    </w:p>
    <w:p>
      <w:pPr>
        <w:pStyle w:val="BodyText"/>
      </w:pPr>
      <w:r>
        <w:rPr>
          <w:b/>
          <w:bCs/>
        </w:rPr>
        <w:t xml:space="preserve">Fator de emissão da rede.</w:t>
      </w:r>
      <w:r>
        <w:t xml:space="preserve"> </w:t>
      </w:r>
      <w:r>
        <w:t xml:space="preserve">Nos casos com limite de emissões, o fator de emissão horário da energia da rede,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, foi estimado a partir da geração horária por usina do Sistema Interligado Nacional (SIN), disponibilizada pelo ONS em seu portal de dados abertos (ONS, 2026), para os anos de 2021 a 2025. Em cada hora, somam-se as emissões das termelétricas a combustíveis fósseis — a geração de cada usina multiplicada pelo fator de emissão do combustível (IPCC, 2006) e dividida por um rendimento típico: 45% para o gás natural (449 kgCO₂/MWh), 35% para o carvão mineral (988 kgCO₂/MWh) e 38% para os óleos diesel e combustível (702 e 733 kgCO₂/MWh) — e divide-se o total pela geração do SIN, excluídas a micro e a minigeração distribuídas. A biomassa, os resíduos industriais, a fonte nuclear e as demais renováveis entram com emissão nula. Os fatores médios anuais resultantes são de 94, 31, 27, 37 e 42 kgCO₂/MWh, de 2021 a 2025. De janeiro a abril de 2025, as médias mensais ficam entre 2% e 5% abaixo dos fatores publicados pelo Ministério da Ciência, Tecnologia e Inovação (MCTI, 2025), cuja metodologia passou a incluir, naquele ano, os novos empreendimentos renováveis conectados ao SIN; pela metodologia anterior, os fatores oficiais de 2021 a 2023 são de 34% a 42% maiores que os aqui estimados. Como alternativa, considera-se um fator marginal constante, de 449 kgCO₂/MWh, que supõe que toda energia importada é suprida por uma termelétrica a gás natural. Os fatores consideram apenas as emissões de operação; para manter a mesma fronteira, a energia FV entra com fator nulo (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No modelo de operação, o desgaste da bateria é representado por um custo por MWh descarregado,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</m:oMath>
      <w:r>
        <w:t xml:space="preserve">, que mede o custo marginal de usar uma bateria existente: cada ciclo adicional antecipa a perda de capacidade e a reposição dos módulos. O custo integral de reposição dividido pela energia descarregada ao longo da vida útil é um limite superior desse custo marginal.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esse limite fica entre R$ 120 e R$ 185 por MWh descarregado. Adota-se R$ 50/MWh no caso de referência, e o efeito de valores de R$ 100 e R$ 200/MWh é avaliado na Seção 3.8.4. Na decisão de construir o BESS (Seção 3.8.2), porém, o desgaste do uso contratado não é cobrado por MWh: o investimento é amortizado no prazo do contrato, sem valor residual, e o O&amp;M fixo inclui a reposição parcial de módulos (</w:t>
      </w:r>
      <w:r>
        <w:rPr>
          <w:i/>
          <w:iCs/>
        </w:rPr>
        <w:t xml:space="preserve">augmentation</w:t>
      </w:r>
      <w:r>
        <w:t xml:space="preserve">) que mantém a capacidade nominal durante a vida útil, com cerca de um ciclo por dia (NREL, 2024). Cobrar também o desgaste por MWh pagaria a bateria duas vezes.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à taxa central de 12,1% ao ano em 15 anos (Seção 3.8.2), a R$ 738 mil a R$ 886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p>
      <w:pPr>
        <w:pStyle w:val="BodyText"/>
      </w:pPr>
      <w:r>
        <w:rPr>
          <w:b/>
          <w:bCs/>
        </w:rPr>
        <w:t xml:space="preserve">Preço do hidrogênio.</w:t>
      </w:r>
      <w:r>
        <w:t xml:space="preserve"> </w:t>
      </w:r>
      <w:r>
        <w:t xml:space="preserve">Não há mercado de hidrogênio renovável consolidado no Brasil, nem preço de referência publicado. O preço de R$ 35/kg, cerca de US$ 6,5/kg pela PTAX de 09/12/2025, foi adotado como o de um comprador disposto a pagar pelo hidrogênio de origem renovável e situa-se acima das referências de custo: a Agência Internacional de Energia indicou custos de US$ 1 a 3/kg para o hidrogênio de origem fóssil e de US$ 3,0 a 7,5/kg para o de origem renovável (IEA, 2023), e estimativas para projetos brasileiros em localidades favoráveis indicam custos nivelados de US$ 2,9 a 3,6/kg (NOVACANA, 2023). O valor adotado corresponde, assim, ao extremo superior do custo do hidrogênio renovável e a cerca de duas vezes o custo estimado em projetos brasileiros de grande escala, e deve ser lido como hipótese otimista quanto à receita do hidrogênio. Por isso, o preço é tratado como parâmetro: o mapa de sensibilidade abrange preços de R$ 10 a R$ 45/kg, e o preço de equilíbrio que anularia o VPL é calculado para cada caso (Seção 3.8.2).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(3.25),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blocos: cada semana começa com o módulo mercantil 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 tanque em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precisa terminar nesses níveis.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p>
      <w:pPr>
        <w:pStyle w:val="BodyText"/>
      </w:pPr>
      <w:r>
        <w:t xml:space="preserve">Quando a potência contratada é fixada — caso das avaliações da curva de oferta e da viabilidade econômica (Seção 3.8) —, a restrição pode ser removida quase integralmente por um procedimento em duas etapas. Primeiro, resolve-se a relaxação linear do problema do ano inteiro, isto é, com as variáveis binárias tratadas como contínuas, e com condição cíclica no ano e nível inicial livre. Sem variáveis binárias, esse problema é resolvido em menos de um minuto, e seu valor ótimo é um limite superior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do lucro operacional do ano. Em seguida, os estados de armazenamento da relaxação no início e no fim de cada semana — o estado de carga do módulo mercantil, em fração de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, e o estoque de hidrogênio — substituem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como condições de contorno dos blocos MILP. Os blocos continuam independentes e são resolvidos em paralelo, e a concatenação de suas soluções é uma operação viável do ano inteiro, cujo lucro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é um limite inferior do ótimo anual. A diferença relativa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Q</m:t>
            </m:r>
          </m:e>
        </m:acc>
        <m:r>
          <m:rPr>
            <m:sty m:val="p"/>
          </m:rPr>
          <m:t>−</m:t>
        </m:r>
        <m:bar>
          <m:barPr>
            <m:pos m:val="bot"/>
          </m:barPr>
          <m:e>
            <m:r>
              <m:t>Q</m:t>
            </m:r>
          </m:e>
        </m:bar>
        <m:r>
          <m:rPr>
            <m:sty m:val="p"/>
          </m:rPr>
          <m:t>)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certifica, assim, a qualidade da aproximação. Como a condição cíclica também produz uma operação viável, adota-se, em cada cenário, o maior dos dois limites inferiores. Nessas avaliações, a recarga excedente do módulo LRCAP (Seção 3.4) é apurada no ano inteiro, como na liquidação da CONCAP, e não bloco a bloco. Para que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seja de fato viável, admite-se, nesses blocos, o eletrolisador desligado antes da primeira hora, o que pode acrescentar uma partida por semana. O procedimento não se aplica ao algoritmo de Benders, porque os estados de fronteira dependeriam do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em que a relaxação foi resolvida, e o conjunto viável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da Equação (3.23) deixaria de ser o mesmo entre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(3.28):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 Como o PLD é apenas um indicador do custo de operação do sistema, avalia-se também um perfil alternativo, ligado à carga líquida do SIN (carga menos geração eólica e solar), obtida pela soma horária da geração hidrelétrica, térmica e nuclear dos dados de geração por usina do ONS (ONS, 2026): a descarga ocorre no bloco de 4 horas consecutivas de maior carga líquida após a janela de recarga, e a recarga, nas horas de menor carga líquida dessa janela (Seção 4.3.6).</w:t>
      </w:r>
    </w:p>
    <w:p>
      <w:pPr>
        <w:pStyle w:val="FirstParagraph"/>
      </w:pPr>
      <w:r>
        <w:t xml:space="preserve">No caso estocástico, o custo por partida do eletrolisador da Equação (3.1),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é de R$ 500 (valor de referência, a calibrar com o fabricante) e incide sobre 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frequentes; no caso determinístico,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(3.29) a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(3.27)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(3.36) e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(3.35),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f0e3fbab76bc3f5e0142e349b83ef2d4bc14838"/>
    <w:p>
      <w:pPr>
        <w:pStyle w:val="Heading2"/>
      </w:pPr>
      <w:r>
        <w:t xml:space="preserve">3.8 Decisão de oferta no leilão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os procedimentos utilizados para obter essa relação nas duas situações consideradas: a curva de oferta de um BESS disponível (Seção 3.8.1) e, para um BESS a construir, a análise de viabilidade e o lance mínimo (Seção 3.8.2), que constitui o resultado principal do trabalho. Em seguida, trata-se do efeito da frequência do despacho do ONS (Seção 3.8.3) e dos casos de sensibilidade avaliados (Seção 3.8.4).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(3.38)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perde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leilão. Ela reúne duas parcelas: o lucro que deixa de obter no MCP e na venda de hidrogênio, que é o custo de oportunidade em sentido estrito, e o custo de degradação do módulo LRCAP pelo despacho do ONS, de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por MW contratado, 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por MW em um ano (Seção 3.8.2). Neste trabalho, denomina-se custo de oportunidade da contratação a soma das duas parcelas, pois é ela que a receita fixa precisa cobrir quando o BESS já existe.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 e com os estados de fronteira dos blocos dados pela relaxação linear de cada ano (Seção 3.6.2). O custo de oportunidade marginal é aproximado pelas diferenças finitas da Equação (3.39):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(3.40),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(3.41);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3.8.2.</w:t>
      </w:r>
    </w:p>
    <w:bookmarkEnd w:id="37"/>
    <w:bookmarkStart w:id="38" w:name="viabilidade-econômica-e-lance-mínimo"/>
    <w:p>
      <w:pPr>
        <w:pStyle w:val="Heading3"/>
      </w:pPr>
      <w:r>
        <w:t xml:space="preserve">3.8.2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J</m:t>
                </m:r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p</m:t>
                    </m:r>
                    <m:r>
                      <m:t>i</m:t>
                    </m:r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t> 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BESS, no eletrolisador e no tanque de hidrogênio,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é o fator de juros durante a construção,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é o valor presente das trocas de pilhas do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fixo,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p>
        <m:r>
          <m:rPr>
            <m:sty m:val="p"/>
          </m:rPr>
          <m:t>=</m:t>
        </m:r>
        <m:r>
          <m:t>12</m:t>
        </m:r>
        <m:r>
          <m:t> </m:t>
        </m:r>
        <m:r>
          <m:t>τ</m:t>
        </m:r>
        <m:r>
          <m:t> </m:t>
        </m:r>
        <m:r>
          <m:t>M</m:t>
        </m:r>
      </m:oMath>
      <w:r>
        <w:t xml:space="preserve"> </w:t>
      </w:r>
      <w:r>
        <w:t xml:space="preserve">é o custo anual de uso da rede, com a tarifa de uso do sistema de transmissão na geração (TUST)</w:t>
      </w:r>
      <w:r>
        <w:t xml:space="preserve"> </w:t>
      </w:r>
      <m:oMath>
        <m:r>
          <m:t>τ</m:t>
        </m:r>
      </m:oMath>
      <w:r>
        <w:t xml:space="preserve">, em R$/kW·mês, aplicada ao montante de uso de injeção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é a alíquota dos tributos sobre a receita bruta (PIS/Cofins),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é a receita bruta anual — receita fixa, venda de energia no MCP e venda de hidrogênio, este tomado líquido de ICMS —,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</w:t>
      </w:r>
    </w:p>
    <w:p>
      <w:pPr>
        <w:pStyle w:val="BodyText"/>
      </w:pPr>
      <w:r>
        <w:t xml:space="preserve">O investimento é desembolsado uniformemente nos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anos de implantação anteriores à entrada em operação e capitalizado à taxa de desconto até essa data, com a convenção de meio de período: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isto é,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para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quando se desconsidera a implantação. Supõe-se, assim, que os custos de referência não incluem juros durante a construção, o que deve ser confirmado nos cadernos da EPE. As pilhas do eletrolisador são trocadas a cada</w:t>
      </w:r>
      <w:r>
        <w:t xml:space="preserve"> </w:t>
      </w:r>
      <m:oMath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horas equivalentes de operação na potência nominal, ao custo de uma fração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do investimento no eletrolisador: com fator de capacidade</w:t>
      </w:r>
      <w:r>
        <w:t xml:space="preserve"> </w:t>
      </w:r>
      <m:oMath>
        <m:r>
          <m:t>F</m:t>
        </m:r>
        <m:r>
          <m:t>C</m:t>
        </m:r>
      </m:oMath>
      <w:r>
        <w:t xml:space="preserve">, a</w:t>
      </w:r>
      <w:r>
        <w:t xml:space="preserve"> </w:t>
      </w:r>
      <m:oMath>
        <m:r>
          <m:t>j</m:t>
        </m:r>
      </m:oMath>
      <w:r>
        <w:t xml:space="preserve">-ésima troca ocorre no ano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⌈</m:t>
        </m:r>
        <m:r>
          <m:t>j</m:t>
        </m:r>
        <m:r>
          <m:t> </m:t>
        </m:r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8.760</m:t>
        </m:r>
        <m:r>
          <m:t> </m:t>
        </m:r>
        <m:r>
          <m:t>F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:</m:t>
            </m:r>
            <m:r>
              <m:t> 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&lt;</m:t>
            </m:r>
            <m:r>
              <m:t>n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t>p</m:t>
                </m:r>
                <m:r>
                  <m:t>i</m:t>
                </m:r>
                <m:r>
                  <m:t>l</m:t>
                </m:r>
              </m:sup>
            </m:sSup>
          </m:e>
        </m:nary>
        <m:sSup>
          <m:e>
            <m:r>
              <m:t>I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; as trocas no último ano ou depois dele não são feitas, pois não há valor residual. Com o fator de capacidade do caso de referência, de 0,37, as 60 mil horas não são atingidas em 15 anos; com a importação de energia, que eleva o fator de capacidade a 0,92, há uma troca no oitavo ano. O compressor que leva o hidrogênio da pressão do eletrolisador à do tanque não foi incluído: sua energia, estimada pela compressão isotérmica de 30 para 160 bar com rendimento de 50%, é de cerca de 1,1 kWh/kg, 2% do consumo específico do eletrolisador.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 de um sistema de 4 h (sensibilidade: 3 h), com 45%; 60%; 75% do custo proporcionais à energia</w:t>
            </w:r>
          </w:p>
        </w:tc>
        <w:tc>
          <w:tcPr/>
          <w:p>
            <w:pPr>
              <w:pStyle w:val="Compact"/>
            </w:pPr>
            <w:r>
              <w:t xml:space="preserve">BRASIL; EPE (2025), sem duração informada (as edições anteriores usavam 3 h); composição típica de sistemas de 4 h: bloco de baterias de 35% a 55%, conversores de 10% a 20% e conexão, obras e custos indiretos de 25% a 40% (BESS-MARKET, 2026; EMBER,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 de hidrogênio</w:t>
            </w:r>
          </w:p>
        </w:tc>
        <w:tc>
          <w:tcPr/>
          <w:p>
            <w:pPr>
              <w:pStyle w:val="Compact"/>
            </w:pPr>
            <w:r>
              <w:t xml:space="preserve">US$ 700; 1.000; 1.100/kg armazenado</w:t>
            </w:r>
          </w:p>
        </w:tc>
        <w:tc>
          <w:tcPr/>
          <w:p>
            <w:pPr>
              <w:pStyle w:val="Compact"/>
            </w:pPr>
            <w:r>
              <w:t xml:space="preserve">Vasos estacionários a 160 bar: situação de 2010 (US$ 1.000/kg) e meta para 2020 (US$ 700/kg); a 430 bar, US$ 1.100/kg (FENG</w:t>
            </w:r>
            <w:r>
              <w:t xml:space="preserve"> </w:t>
            </w:r>
            <w:r>
              <w:rPr>
                <w:i/>
                <w:iCs/>
              </w:rPr>
              <w:t xml:space="preserve">et al.</w:t>
            </w:r>
            <w:r>
              <w:t xml:space="preserve">, 2014)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Troca de pilhas do eletrolisador</w:t>
            </w:r>
          </w:p>
        </w:tc>
        <w:tc>
          <w:tcPr/>
          <w:p>
            <w:pPr>
              <w:pStyle w:val="Compact"/>
            </w:pPr>
            <w:r>
              <w:t xml:space="preserve">40% do investimento no eletrolisador a cada 60.000 h equivalentes</w:t>
            </w:r>
          </w:p>
        </w:tc>
        <w:tc>
          <w:tcPr/>
          <w:p>
            <w:pPr>
              <w:pStyle w:val="Compact"/>
            </w:pPr>
            <w:r>
              <w:t xml:space="preserve">EPRI (2022): troca de 35% a 45% do investimento, vida de 60 a 80 mil 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Prazo de implantação</w:t>
            </w:r>
          </w:p>
        </w:tc>
        <w:tc>
          <w:tcPr/>
          <w:p>
            <w:pPr>
              <w:pStyle w:val="Compact"/>
            </w:pPr>
            <w:r>
              <w:t xml:space="preserve">1 ano (sensibilidade: 0 e 2 anos), com juros durante a construção à taxa de desconto</w:t>
            </w:r>
          </w:p>
        </w:tc>
        <w:tc>
          <w:tcPr/>
          <w:p>
            <w:pPr>
              <w:pStyle w:val="Compact"/>
            </w:pPr>
            <w:r>
              <w:t xml:space="preserve">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BESS: NREL (2024), incluída a reposição parcial de módulos que mantém a capacidade nominal em 15 anos, com cerca de um ciclo por dia e sem O&amp;M variável; FV e eletrolisador: 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12,1% (central) e 8,0%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 antes e após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da rede (TUST de geração)</w:t>
            </w:r>
          </w:p>
        </w:tc>
        <w:tc>
          <w:tcPr/>
          <w:p>
            <w:pPr>
              <w:pStyle w:val="Compact"/>
            </w:pPr>
            <w:r>
              <w:t xml:space="preserve">R$ 5,68; 10,93; 19,49/kW·mês, sobre o montante de uso de injeção compartilhado pela FV e pelo BESS (sensibilidades: montantes somados; cobrança também da TUST de consumo, de R$ 15,23/kW·mês)</w:t>
            </w:r>
          </w:p>
        </w:tc>
        <w:tc>
          <w:tcPr/>
          <w:p>
            <w:pPr>
              <w:pStyle w:val="Compact"/>
            </w:pPr>
            <w:r>
              <w:t xml:space="preserve">Ciclo 2026/2027: média nacional e faixa entre regiões (MOVIMENTO ECONÔMICO, 2026; RADAR ENERGIA, 2026); armazenamento despachado pelo ONS paga apenas na injeção (CENÁRIO ENERGIA, 2026), embora a REN ANEEL nº 1.162/2026 preveja o faturamento das duas parcelas para armazenamento colocalizado (CESCON BARRIEU,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do BESS</w:t>
            </w:r>
          </w:p>
        </w:tc>
        <w:tc>
          <w:tcPr/>
          <w:p>
            <w:pPr>
              <w:pStyle w:val="Compact"/>
            </w:pPr>
            <w:r>
              <w:t xml:space="preserve">0; 1%; 2% da potência nominal</w:t>
            </w:r>
          </w:p>
        </w:tc>
        <w:tc>
          <w:tcPr/>
          <w:p>
            <w:pPr>
              <w:pStyle w:val="Compact"/>
            </w:pPr>
            <w:r>
              <w:t xml:space="preserve">Valor indicativo de fornecedores, de 0,8% a 1,6% da potência do conversor (ENERGY CENTRAL,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100% (sensibilidade: 97%)</w:t>
            </w:r>
          </w:p>
        </w:tc>
        <w:tc>
          <w:tcPr/>
          <w:p>
            <w:pPr>
              <w:pStyle w:val="Compact"/>
            </w:pPr>
            <w:r>
              <w:t xml:space="preserve">Portaria MME nº 136/2026: disponibilidade integral, com isenção de penalidade para a indisponibilidade acordada com 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Tributos sobre a receita (PIS/Cofins)</w:t>
            </w:r>
          </w:p>
        </w:tc>
        <w:tc>
          <w:tcPr/>
          <w:p>
            <w:pPr>
              <w:pStyle w:val="Compact"/>
            </w:pPr>
            <w:r>
              <w:t xml:space="preserve">3,65% (lucro presumido; sensibilidade: 9,25%, não cumulativo)</w:t>
            </w:r>
          </w:p>
        </w:tc>
        <w:tc>
          <w:tcPr/>
          <w:p>
            <w:pPr>
              <w:pStyle w:val="Compact"/>
            </w:pPr>
            <w:r>
              <w:t xml:space="preserve">Brasil (1998; 2002; 2003); encargos setoriais não incluídos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Reajuste da receita fixa</w:t>
            </w:r>
          </w:p>
        </w:tc>
        <w:tc>
          <w:tcPr/>
          <w:p>
            <w:pPr>
              <w:pStyle w:val="Compact"/>
            </w:pPr>
            <w:r>
              <w:t xml:space="preserve">IPCA anual (sensibilidade: sem reajuste, com IPCA de 4% a.a.)</w:t>
            </w:r>
          </w:p>
        </w:tc>
        <w:tc>
          <w:tcPr/>
          <w:p>
            <w:pPr>
              <w:pStyle w:val="Compact"/>
            </w:pPr>
            <w:r>
              <w:t xml:space="preserve">A confirmar na Portaria MME nº 136/2026 e no edital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fluxo de caixa é calculado antes dos tributos sobre a renda, adota-se como taxa central o custo de capital antes de impostos (12,1%), que já incorpora o efeito desses tributos. A taxa antes de impostos não cobre, porém, os tributos sobre a receita, que são deduzidos do fluxo: adota-se o regime cumulativo do lucro presumido (</w:t>
      </w:r>
      <m:oMath>
        <m:r>
          <m:t>t</m:t>
        </m:r>
      </m:oMath>
      <w:r>
        <w:t xml:space="preserve"> </w:t>
      </w:r>
      <w:r>
        <w:t xml:space="preserve">= 3,65%; BRASIL, 1998), admitido para receita bruta anual de até R$ 78 milhões (BRASIL, 2013), caso de uma sociedade de propósito específico só do BESS, e avalia-se o regime não cumulativo (</w:t>
      </w:r>
      <m:oMath>
        <m:r>
          <m:t>t</m:t>
        </m:r>
      </m:oMath>
      <w:r>
        <w:t xml:space="preserve"> </w:t>
      </w:r>
      <w:r>
        <w:t xml:space="preserve">= 9,25%, sem créditos; BRASIL, 2002; 2003) como sensibilidade. Encargos setoriais, como a taxa de fiscalização da ANEEL e a contribuição à CCEE, não foram incluídos. A receita fixa é suposta reajustada anualmente pelo IPCA, o que a torna constante em termos reais, coerente com o fluxo de caixa; como essa regra ainda deve ser confirmada na Portaria e no edital, avalia-se também a receita constante em termos nominais. A taxa após impostos (8,0%) é apresentada apenas como sensibilidade, pois, aplicada a um fluxo antes de impostos, ignora o imposto de renda e superestima o VPL.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)</m:t>
            </m:r>
            <m:r>
              <m:t> </m:t>
            </m:r>
            <m:r>
              <m:t>V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)</m:t>
            </m:r>
          </m:e>
        </m:d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r>
          <m:t>J</m:t>
        </m:r>
        <m:r>
          <m:t> 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+</m:t>
        </m:r>
        <m:r>
          <m:t>12</m:t>
        </m:r>
        <m:r>
          <m:t> </m:t>
        </m:r>
        <m:r>
          <m:t>τ</m:t>
        </m:r>
        <m:r>
          <m:t> 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, que inclui o capital, com os juros durante a construção, o O&amp;M fixo com a reposição parcial de módulos e o acréscimo de uso da rede. O investimento separa as parcelas de potência e de energia,</w:t>
      </w:r>
      <w:r>
        <w:t xml:space="preserve"> </w:t>
      </w:r>
      <m:oMath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t>d</m:t>
                </m:r>
                <m:r>
                  <m:t>i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f</m:t>
            </m:r>
            <m:r>
              <m:t> </m:t>
            </m:r>
            <m:sSup>
              <m:e>
                <m:r>
                  <m:t>E</m:t>
                </m:r>
              </m:e>
              <m:sup>
                <m:r>
                  <m:t>t</m:t>
                </m:r>
                <m:r>
                  <m:t>o</m:t>
                </m:r>
                <m:r>
                  <m:t>t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h</m:t>
                </m:r>
              </m:e>
              <m:sup>
                <m:r>
                  <m:t>r</m:t>
                </m:r>
                <m:r>
                  <m:t>e</m:t>
                </m:r>
                <m:r>
                  <m:t>f</m:t>
                </m:r>
              </m:sup>
            </m:sSup>
          </m:e>
        </m:d>
      </m:oMath>
      <w:r>
        <w:t xml:space="preserve">, em que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é o custo por kW de um sistema de</w:t>
      </w:r>
      <w:r>
        <w:t xml:space="preserve"> </w:t>
      </w:r>
      <m:oMath>
        <m:sSup>
          <m:e>
            <m:r>
              <m:t>h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horas 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é a parcela desse custo proporcional à energia; assim, a energia instalada além da duração de referência tem custo. O montante de uso de injeção sem o BESS é</w:t>
      </w:r>
      <w: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. Com o BESS, adota-se a conexão compartilhada do art. 4º, § 1º, II, da Portaria: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com a geração FV limitada quando a bateria injeta, o que atende à exigência de que o montante permita a descarga e a recarga totais do sistema de armazenamento (BRASIL, 2026, art. 9º, § 13). As curvas de oferta foram obtidas com conexão de 80 MW; com 60 MW, a diferença a partir de 50 MW contratados limita-se à geração FV nas horas de descarga do ONS, de cerca de R$ 1 mil/(MW·ano). Como sensibilidade, avaliam-se os montantes somados,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 a cobrança também da TUST de consumo sobre a potência do BESS. Nessa decisão, o lucro operacional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da Seção 3.8.1 é ajustado em dois pontos, conforme a Equação (3.44): devolve-se o custo de degradação do módulo LRCAP, cujo desgaste já está no investimento e no O&amp;M fixo (Seção 3.5), e desconta-se o consumo auxiliar do BESS que não é custeado pela CONCAP: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Q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t>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max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 </m:t>
                        </m:r>
                        <m:r>
                          <m:t>a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ϕ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n</m:t>
                            </m:r>
                            <m:r>
                              <m:t>s</m:t>
                            </m:r>
                          </m:sup>
                        </m:sSup>
                      </m:e>
                    </m:d>
                    <m:r>
                      <m:t>P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LRCAP por MW contratado em um ano,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é o consumo auxiliar em fração da potência,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ano e</w:t>
      </w:r>
      <w:r>
        <w:t xml:space="preserve"> </w:t>
      </w:r>
      <m:oMath>
        <m:acc>
          <m:accPr>
            <m:chr m:val="‾"/>
          </m:accPr>
          <m:e>
            <m:r>
              <m:t>λ</m:t>
            </m:r>
          </m:e>
        </m:acc>
      </m:oMath>
      <w:r>
        <w:t xml:space="preserve"> </w:t>
      </w:r>
      <w:r>
        <w:t xml:space="preserve">é o PLD médio. O primeiro termo entre colchetes é o consumo do módulo mercantil, pago pelo empreendedor. O segundo é a parcela do consumo do módulo LRCAP que, medida no seu ponto de medição e contada como recarga, excede a folga</w:t>
      </w:r>
      <w:r>
        <w:t xml:space="preserve"> </w:t>
      </w:r>
      <m:oMath>
        <m:r>
          <m:t>ϕ</m:t>
        </m:r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entre a recarga custeada pela CONCAP,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e a recarga necessária,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isto é,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(BRASIL, 2026, art. 9º, §§ 7º e 8º). Com despacho diário,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≈</m:t>
        </m:r>
        <m:r>
          <m:t>1.461</m:t>
        </m:r>
      </m:oMath>
      <w:r>
        <w:t xml:space="preserve"> </w:t>
      </w:r>
      <w:r>
        <w:t xml:space="preserve">MWh/MW, a folga é de cerca de 100 MWh/MW por ano e cobre um consumo auxiliar de até 1,1% da potência. O uso dessa folga para o consumo auxiliar é uma interpretação: a Portaria custeia a recarga com base no rendimento de referência, mas não trata expressamente do consumo auxiliar medido no ponto de medição do módulo. Por isso, avalia-se também o caso em que todo o consumo auxiliar é pago ao PLD (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). A receita fixa é multiplicada pelo fator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d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t>φ</m:t>
        </m:r>
      </m:oMath>
      <w:r>
        <w:t xml:space="preserve">, em que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é a disponibilidade,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 alíquota dos tributos sobre a receita 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 perda de valor real da receita fixa sem reajuste pelo IPCA: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 reajuste e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sem ele, com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i</m:t>
            </m:r>
            <m:r>
              <m:t>p</m:t>
            </m:r>
            <m:r>
              <m:t>c</m:t>
            </m:r>
            <m:r>
              <m:t>a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. A potência ofertada passa a ser dada pela Equação (3.45):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(3.45)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com resolução de R$ 1 mil/(MW·ano) para as três faixas de investimento e as duas taxas de desconto do Quadro 3.3 e, no caso central, decomposto nas parcelas de capital, O&amp;M, uso da rede, consumo auxiliar, uso mercantil e tributos sobre a receita, cuja soma é o lance. Como os tributos sobre a venda de energia e de hidrogênio pouco mudam entre as alternativas com e sem BESS no lance mínimo, em que a operação do lado mercantil coincide, eles são considerados apenas na receita fixa.</w:t>
      </w:r>
    </w:p>
    <w:bookmarkEnd w:id="38"/>
    <w:bookmarkStart w:id="39" w:name="frequência-do-despacho-do-ons"/>
    <w:p>
      <w:pPr>
        <w:pStyle w:val="Heading3"/>
      </w:pPr>
      <w:r>
        <w:t xml:space="preserve">3.8.3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(3.46)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p>
      <w:pPr>
        <w:pStyle w:val="BodyText"/>
      </w:pPr>
      <w:r>
        <w:t xml:space="preserve">Essa relação vale para o BESS existente. Para o BESS a construir, ela permite aproximar o lance mínimo da Seção 3.8.2. No lance mínimo, a potência ofertada tende à potência total do BESS (</w:t>
      </w:r>
      <m:oMath>
        <m:r>
          <m:t>P</m:t>
        </m:r>
        <m:r>
          <m:rPr>
            <m:sty m:val="p"/>
          </m:rPr>
          <m:t>≈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), de modo que o módulo mercantil se anula e a operação do lado mercantil se aproxima da operação sem BESS. Nessa condição,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c</m:t>
                </m:r>
              </m:e>
              <m:sup>
                <m:r>
                  <m:t>d</m:t>
                </m:r>
                <m:r>
                  <m:t>e</m:t>
                </m:r>
                <m:r>
                  <m:t>g</m:t>
                </m:r>
              </m:sup>
            </m:sSup>
            <m:sSup>
              <m:e>
                <m:r>
                  <m:t>H</m:t>
                </m:r>
              </m:e>
              <m:sup>
                <m:r>
                  <m:t>c</m:t>
                </m:r>
                <m:r>
                  <m:t>a</m:t>
                </m:r>
                <m:r>
                  <m:t>p</m:t>
                </m:r>
              </m:sup>
            </m:sSup>
            <m:sSup>
              <m:e>
                <m:r>
                  <m:t>N</m:t>
                </m:r>
              </m:e>
              <m:sup>
                <m:r>
                  <m:t>o</m:t>
                </m:r>
                <m:r>
                  <m:t>n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κ</m:t>
            </m:r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. Como a Equação (3.44) devolve o termo de degradação,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κ</m:t>
            </m:r>
            <m:r>
              <m:rPr>
                <m:sty m:val="p"/>
              </m:rPr>
              <m:t>+</m:t>
            </m:r>
            <m:sSup>
              <m:e>
                <m:r>
                  <m:t>κ</m:t>
                </m:r>
              </m:e>
              <m:sup>
                <m:r>
                  <m:t>a</m:t>
                </m:r>
                <m:r>
                  <m:t>u</m:t>
                </m:r>
                <m:r>
                  <m:t>x</m:t>
                </m:r>
              </m:sup>
            </m:sSup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em que</w:t>
      </w:r>
      <w:r>
        <w:t xml:space="preserve"> </w:t>
      </w:r>
      <m:oMath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</m:oMath>
      <w:r>
        <w:t xml:space="preserve"> </w:t>
      </w:r>
      <w:r>
        <w:t xml:space="preserve">é o consumo auxiliar não custeado, por MW. A condição de indiferença</w:t>
      </w:r>
      <w:r>
        <w:t xml:space="preserve"> </w:t>
      </w:r>
      <m:oMath>
        <m:r>
          <m:t>R</m:t>
        </m:r>
        <m:r>
          <m:t> </m:t>
        </m:r>
        <m:r>
          <m:t>k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+</m:t>
        </m:r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resulta na Equação (3.47):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J</m:t>
                        </m:r>
                        <m:r>
                          <m:t> </m:t>
                        </m:r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t> </m:t>
                        </m:r>
                        <m:r>
                          <m:t>τ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κ</m:t>
                        </m:r>
                      </m:e>
                      <m:sup>
                        <m:r>
                          <m:t>a</m:t>
                        </m:r>
                        <m:r>
                          <m:t>u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(3.47)</w:t>
            </w:r>
          </w:p>
        </w:tc>
      </w:tr>
    </w:tbl>
    <w:p>
      <w:pPr>
        <w:pStyle w:val="FirstParagraph"/>
      </w:pPr>
      <w:r>
        <w:t xml:space="preserve">isto é, o lance mínimo de um BESS a construir corresponde aproximadamente ao seu custo anual equivalente por MW — capital com os juros durante a construção, O&amp;M com reposição de módulos e uso da rede —, acrescido da recarga e do consumo auxiliar não custeados pela CONCAP e dividido pelo fator</w:t>
      </w:r>
      <w:r>
        <w:t xml:space="preserve"> </w:t>
      </w:r>
      <m:oMath>
        <m:r>
          <m:t>k</m:t>
        </m:r>
      </m:oMath>
      <w:r>
        <w:t xml:space="preserve">, que reúne a disponibilidade, os tributos sobre a receita e o reajuste. Como o desgaste do despacho já está no O&amp;M, o lance não depende do custo de degradação por MWh e só depende da frequência do despacho por meio do consumo auxiliar, cuja folga diminui quando o módulo é despachado menos vezes. A aproximação desconsidera o valor residual do uso mercantil da bateria e é verificada no Capítulo 4.</w:t>
      </w:r>
    </w:p>
    <w:p>
      <w:pPr>
        <w:pStyle w:val="BodyText"/>
      </w:pPr>
      <w:r>
        <w:rPr>
          <w:b/>
          <w:bCs/>
        </w:rPr>
        <w:t xml:space="preserve">Dimensionamento do BESS e bateria isolada.</w:t>
      </w:r>
      <w:r>
        <w:t xml:space="preserve"> </w:t>
      </w:r>
      <w:r>
        <w:t xml:space="preserve">As curvas de oferta são obtidas para o BESS de referência, de 60 MW e 300 MWh. Para um BESS construído para o leilão, porém, a potência e a energia podem ser escolhidas junto com o lance. Avalia-se, por isso, o BESS dimensionado para o contrato, com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=</m:t>
        </m:r>
        <m:r>
          <m:t>ρ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isto é, um módulo LRCAP sem módulo mercantil. Como a energia desse módulo é liquidada na CONCAP, ele não altera a operação da usina, e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. O lance mínimo é, então, dado exatamente pela Equação (3.47), com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para cada potência entre</w:t>
      </w:r>
      <w:r>
        <w:t xml:space="preserve"> </w:t>
      </w:r>
      <m:oMath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a potência do BESS de referência. Para isolar o papel do arranjo híbrido, o mesmo cálculo é feito para uma bateria isolada, sem a usina FV e o eletrolisador, cujo montante de uso de injeção é a própria potência (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). Como, no lance, ambas operam apenas o módulo LRCAP, a diferença entre os dois lances mede o valor do compartilhamento da conexão. Esse valor pressupõe que a usina FV com o eletrolisador exista por seus próprios méritos; por isso, calcula-se também o VPL dessa usina sem o BESS, com a receita bruta aproximada pelo lucro operacional somado ao custo variável do hidrogênio. O valor do módulo mercantil é avaliado comparando-se o lucro que ele acrescenta na curva de oferta com o seu custo anual.</w:t>
      </w:r>
    </w:p>
    <w:bookmarkEnd w:id="39"/>
    <w:bookmarkStart w:id="40" w:name="casos-avaliados"/>
    <w:p>
      <w:pPr>
        <w:pStyle w:val="Heading3"/>
      </w:pPr>
      <w:r>
        <w:t xml:space="preserve">3.8.4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regra de suprimento do eletrolisador pela rede — vedação, limite de emissões ou importação livre —,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de R$ 100 ou 400/MWh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médio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médio horário do 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marginal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= 449 kgCO₂/MWh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, sem limite de emissões. 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representa, de forma agregada, o que um consumidor conectado à rede paga além da energia: o uso da rede na parcela de consumo — a TUST de consumo de R$ 15,23/kW·mês corresponde a cerca de R$ 21/MWh com o eletrolisador a plena carga, e a mais com fator de capacidade menor —, os encargos setoriais — a Conta de Desenvolvimento Energético (CDE), cuja quota anual de uso, de R$ 41,4 bilhões em 2025 (ANEEL, 2025), corresponde a algumas dezenas de reais por MWh consumido, menos em alta tensão, o Proinfa e os encargos de serviços do sistema e de energia de reserva — e os tributos não recuperáveis sobre a energia comprada, como o ICMS quando não creditado. Esses componentes dependem do nível de tensão, da concessionária, do enquadramento do consumidor — por exemplo, como autoprodutor por equiparação — e de benefícios à produção de hidrogênio ainda em regulamentação (BRASIL, 2024). O valor de R$ 250/MWh é, por isso, uma hipótese do autor, situada na faixa superior desses custos, e o caso de importação livre é avaliado também com R$ 100 e R$ 400/MWh. Nos casos com limite de emissões, a energia da rede, ao mesmo custo, supre apenas o eletrolisador e está sujeita às Equações (3.20) e (3.21), o que representa o critério de qualificação do hidrogênio pela intensidade de emissões (BRASIL, 2024). Ambas as configurações são avaliadas como alternativas à hipótese de suprimento exclusivamente fotovoltaico. Para cada caso, além da curva de oferta, registram-se a potência ótima e a operação média nos cenários para a receita fixa de referência, de R$ 600 mil/(MW·ano), e calcula-se o lance mínimo para a construção do BESS (Seção 3.8.2), com o lucro sem BESS recalculado nos casos que alteram o contrato de hidrogênio, a importação ou o eletrolisador.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hidrogênio, o limite de emissões do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O viés não é uniforme: ele recai sobretudo sobre o módulo mercantil, cuja arbitragem e cujo suprimento noturno do eletrolisador dependem de conhecer os preços e a irradiância das horas seguintes, enquanto a receita fixa do módulo LRCAP não depende de previsão. Superestima-se, portanto, o custo de oportunidade de contratar a potência no leilão, e a potência ótima de um BESS existente tende a ser subestimada, isto é, um operador real ofertaria ao menos a potência indicada pela curva de oferta. No lance mínimo de um BESS a construir, o módulo mercantil é nulo e a operação do lado mercantil coincide nas alternativas com e sem BESS, de modo que o viés praticamente se cancela; no VPL do empreendimento, ele torna o resultado otimista, o que reforça a conclusão de inviabilidade. O tamanho desse viés é medido no Capítulo 4 por uma operação em horizonte rolante de 48 h, com o PLD conhecido na véspera e a geração FV prevista por persistência: em 2025, a perda é de no máximo 0,54% do lucro operacional (Subseção 4.3.2).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3.8.3),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 e suposta reajustada anualmente pelo Índice Nacional de Preços ao Consumidor Amplo (IPCA), regra a confirmar na Portaria e no edital — sem reajuste, o lance mínimo subiria cerca de 25% (Capítulo 4) —, sem o abatimento mensal por desempenho e sem as penalidades por indisponibilidade, cujos detalhes dependem do edital do leilão; o efeito de uma disponibilidade de 97% sobre o lance é avaliado como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existente é proporcional à energia descarregada, sem dependência da profundidade de descarga, e seu valor de referência (R$ 50/MWh) é inferior ao custo integral de reposição dos módulos, o que é tratado por análise de sensibilidade; na decisão de construir o BESS, o desgaste do uso contratado está no O&amp;M fixo, e o uso mercantil mantém o custo por MWh, hipótese conservadora, pois o O&amp;M de referência já cobre cerca de um ciclo por dia;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do BESS em módulos:</w:t>
      </w:r>
      <w:r>
        <w:t xml:space="preserve"> </w:t>
      </w:r>
      <w:r>
        <w:t xml:space="preserve">a contratação de parte da instalação, com o restante operado no mercado sob medição individualizada, é uma interpretação da Portaria a confirmar no edital (Seção 3.2); sem ela, vale apenas o BESS dimensionado para o contrato. Além disso, 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fronteira entre blocos semanais:</w:t>
      </w:r>
      <w:r>
        <w:t xml:space="preserve"> </w:t>
      </w:r>
      <w:r>
        <w:t xml:space="preserve">no algoritmo de Benders, os estados de armazenamento retornam ao valor inicial ao final de cada semana, o que impede transferências de energia ou de hidrogênio entre semanas; nas avaliações com potência fixa (Seção 3.8), esses estados seguem a relaxação linear do ano inteiro, e a perda em relação ao ótimo anual é limitada pela diferença entre os limites inferior e superior (Seção 3.6.2). A redução do ano a dias representativos, comum na literatura, foi descartada por perder a cronologia entre dias: sem contrato, ela altera pouco a curva de oferta, mas, com contrato de 3 t/dia, subestima em 30% a 40% o custo de oportunidade da potência contratada (Seção 4.1);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adotada, igual ao preço do hidrogênio, é um valor de referência ainda não calibrado com contratos reais. Somada à receita perdida, ela custa ao empreendedor R$ 70 por kg não entregue, o que torna o contrato praticamente firme e eleva o valor atribuído ao BESS no seu cumprimento (Seção 3.4.5);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antes dos tributos sobre a renda e descontado à taxa antes de impostos, com PIS/Cofins no regime cumulativo e sem encargos setoriais, com prazo de implantação de um ano e juros durante a construção à própria taxa de desconto, sem financiamento, sem benefícios fiscais e sem valor residual; o O&amp;M fixo da FV e do eletrolisador é hipotético, o compressor do hidrogênio não está incluído, o custo do tanque refere-se a metas e estimativas do DOE para vasos estacionários, e não a cotações, a TUST é a média nacional, e não a do barramento de conexão, a regra de cobrança do armazenamento ainda deve ser confirmada no texto da REN ANEEL nº 1.162/2026, a duração de referência e a composição do custo do BESS são estimadas e o consumo auxiliar é um valor indicativo; o lucro operacional é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fora da amostra é feita apenas pela retirada de um ano de cada vez (Subseção 4.3.2); as séries repetem o passado e não representam a evolução dos preços ao longo dos 15 anos do contrato. O PLD horário só existe desde janeiro de 2021, de modo que os cinco anos constituem toda a série horária disponível;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limite de emissões simplificado:</w:t>
      </w:r>
      <w:r>
        <w:t xml:space="preserve"> </w:t>
      </w:r>
      <w:r>
        <w:t xml:space="preserve">a intensidade de emissões é apurada por semana, e não por hora ou por ano, e toda a energia importada é atribuída ao hidrogênio; o fator de emissão da rede é estimado com fatores do IPCC e rendimentos típicos por combustível, e não com o consumo de combustível de cada usina, e os fatores oficiais usados na comparação foram obtidos em fontes secundárias; a energia FV entra com emissão nula, ao passo que seu ciclo de vida, com mediana de 48 gCO₂eq/kWh em usinas de grande porte (SCHLÖMER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2014), corresponderia, sozinho, a 2,6 kgCO₂eq/kgH₂; e a metodologia de certificação — fator médio ou marginal, janela de apuração e fronteira do ciclo de vida — depende da regulamentação do Sistema Brasileiro de Certificação do Hidrogênio;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calendário:</w:t>
      </w:r>
      <w:r>
        <w:t xml:space="preserve"> </w:t>
      </w:r>
      <w:r>
        <w:t xml:space="preserve">o ano bissexto de 2024 é operado em 366 dias, mas a receita fixa corresponde a um ano, o que eleva o lucro operacional desse cenário em cerca de um dia de operação, R$ 0,1 milhão, e o lucro esperado em cerca de 0,03%; como o dia adicional está presente com e sem o BESS, o efeito sobre o lance mínimo é desprezível. Como o ano não é múltiplo de sete dias, o último bloco da decomposição tem 8 dias (9 em 2024), e a janela de apuração das emissões desse bloco é de 192 ou 216 horas, em vez de 168.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 Resolução Homologatória nº 3.484, de 15 de julho de 2025. Aprova o orçamento anual da Conta de Desenvolvimento Energético (CDE) para 2025 e fixa as quotas anuais de CDE-USO e CDE-GD. Brasília: ANEEL, 2025.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BESS-MARKET.</w:t>
      </w:r>
      <w:r>
        <w:t xml:space="preserve"> </w:t>
      </w:r>
      <w:r>
        <w:rPr>
          <w:b/>
          <w:bCs/>
        </w:rPr>
        <w:t xml:space="preserve">CAPEX Benchmark</w:t>
      </w:r>
      <w:r>
        <w:t xml:space="preserve">: what does a BESS project cost in 2026? 2026. Disponível em: https://bess-market.com/en/knowledge/bess-capex-benchmark-2026/. Acesso em: 13 out. 2026.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Lei nº 9.718, de 27 de novembro de 1998.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28 nov. 1998.</w:t>
      </w:r>
    </w:p>
    <w:p>
      <w:pPr>
        <w:pStyle w:val="Referencia"/>
      </w:pPr>
      <w:r>
        <w:t xml:space="preserve">BRASIL. Lei nº 10.637, de 30 de dezembro de 2002. Dispõe sobre a não-cumulatividade na cobrança da contribuição para os Programas de Integração Social (PIS) e de Formação do Patrimônio do Servidor Público (Pasep).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31 dez. 2002.</w:t>
      </w:r>
    </w:p>
    <w:p>
      <w:pPr>
        <w:pStyle w:val="Referencia"/>
      </w:pPr>
      <w:r>
        <w:t xml:space="preserve">BRASIL. Lei nº 10.833, de 29 de dezembro de 2003.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30 dez. 2003.</w:t>
      </w:r>
    </w:p>
    <w:p>
      <w:pPr>
        <w:pStyle w:val="Referencia"/>
      </w:pPr>
      <w:r>
        <w:t xml:space="preserve">BRASIL. Lei nº 12.814, de 16 de maio de 2013. Altera, entre outras, a Lei nº 9.718, de 27 de novembro de 1998, para elevar o limite de receita bruta para opção pelo lucro presumido.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17 maio 2013.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CENÁRIO ENERGIA.</w:t>
      </w:r>
      <w:r>
        <w:t xml:space="preserve"> </w:t>
      </w:r>
      <w:r>
        <w:rPr>
          <w:b/>
          <w:bCs/>
        </w:rPr>
        <w:t xml:space="preserve">ANEEL aprova marco de baterias com tarifação dupla para sistemas sem despacho do ONS</w:t>
      </w:r>
      <w:r>
        <w:t xml:space="preserve">. 2 jun. 2026. Disponível em: https://cenarioenergia.com.br/2026/06/02/aneel-aprova-marco-de-baterias-com-tarifacao-dupla-para-sistemas-sem-despacho-do-ons/. Acesso em: 13 out. 2026.</w:t>
      </w:r>
    </w:p>
    <w:p>
      <w:pPr>
        <w:pStyle w:val="Referencia"/>
      </w:pPr>
      <w:r>
        <w:t xml:space="preserve">CESCON BARRIEU.</w:t>
      </w:r>
      <w:r>
        <w:t xml:space="preserve"> </w:t>
      </w:r>
      <w:r>
        <w:rPr>
          <w:b/>
          <w:bCs/>
        </w:rPr>
        <w:t xml:space="preserve">ANEEL publishes regulation on energy storage systems</w:t>
      </w:r>
      <w:r>
        <w:t xml:space="preserve">. São Paulo, jun. 2026. Disponível em: https://cesconbarrieu.com.br/en/aneel-publishes-regulation-on-energy-storage-systems/. Acesso em: 13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EMBER.</w:t>
      </w:r>
      <w:r>
        <w:t xml:space="preserve"> </w:t>
      </w:r>
      <w:r>
        <w:rPr>
          <w:b/>
          <w:bCs/>
        </w:rPr>
        <w:t xml:space="preserve">How cheap is battery storage?</w:t>
      </w:r>
      <w:r>
        <w:t xml:space="preserve"> </w:t>
      </w:r>
      <w:r>
        <w:t xml:space="preserve">Londres: Ember, dez. 2025. Disponível em: https://ember-energy.org/latest-insights/how-cheap-is-battery-storage/. Acesso em: 13 out. 2026.</w:t>
      </w:r>
    </w:p>
    <w:p>
      <w:pPr>
        <w:pStyle w:val="Referencia"/>
      </w:pPr>
      <w:r>
        <w:t xml:space="preserve">ENERGY CENTRAL.</w:t>
      </w:r>
      <w:r>
        <w:t xml:space="preserve"> </w:t>
      </w:r>
      <w:r>
        <w:rPr>
          <w:b/>
          <w:bCs/>
        </w:rPr>
        <w:t xml:space="preserve">BESS 5 MWh aux consumption</w:t>
      </w:r>
      <w:r>
        <w:t xml:space="preserve">. 2025. Disponível em: https://www.energycentral.com/energy-biz/post/bess-5-mwh-aux-consumption-nB19OmDcUfffS2B. Acesso em: 13 out. 2026.</w:t>
      </w:r>
    </w:p>
    <w:p>
      <w:pPr>
        <w:pStyle w:val="Referencia"/>
      </w:pPr>
      <w:r>
        <w:t xml:space="preserve">ENERGY-STORAGE.NEWS.</w:t>
      </w:r>
      <w:r>
        <w:t xml:space="preserve"> </w:t>
      </w:r>
      <w:r>
        <w:rPr>
          <w:b/>
          <w:bCs/>
        </w:rPr>
        <w:t xml:space="preserve">Battery storage system prices continue to fall sharply, BNEF and Ember reports find</w:t>
      </w:r>
      <w:r>
        <w:t xml:space="preserve">. Londres: Solar Media, dez. 2025. Disponível em: https://www.energy-storage.news. Acesso em: 20 out. 2026.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EPRI.</w:t>
      </w:r>
      <w:r>
        <w:t xml:space="preserve"> </w:t>
      </w:r>
      <w:r>
        <w:rPr>
          <w:b/>
          <w:bCs/>
        </w:rPr>
        <w:t xml:space="preserve">Technology brief: water electrolyzer stack degradation</w:t>
      </w:r>
      <w:r>
        <w:t xml:space="preserve">. Palo Alto: Electric Power Research Institute, ago. 2022. Produto 3002025148. Disponível em: https://restservice.epri.com/publicdownload/000000003002025148/0/Product. Acesso em: 15 out. 2026.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FENG, Z.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Steel concrete composite vessel for 875 bar stationary hydrogen storage</w:t>
      </w:r>
      <w:r>
        <w:t xml:space="preserve">. Apresentação no Annual Merit Review do Hydrogen and Fuel Cells Program. Washington, DC: U.S. Department of Energy, 2014. Disponível em: https://www.hydrogen.energy.gov/docs/hydrogenprogramlibraries/pdfs/review14/pd088_feng_2014_o.pdf. Acesso em: 15 out. 2026.</w:t>
      </w:r>
    </w:p>
    <w:p>
      <w:pPr>
        <w:pStyle w:val="Referencia"/>
      </w:pPr>
      <w:r>
        <w:t xml:space="preserve">GARCÍA-MIGUEL, P. L. C.; ZARILLI, D.; ALONSO-MARTINEZ, J.; GARCÍA PLAZA, M.; ARNALTES GÓMEZ, S. Optimal operation and market integration of a hybrid farm with green hydrogen and energy storage: a stochastic approach considering wind and electricity price uncertainties.</w:t>
      </w:r>
      <w:r>
        <w:t xml:space="preserve"> </w:t>
      </w:r>
      <w:r>
        <w:rPr>
          <w:b/>
          <w:bCs/>
        </w:rPr>
        <w:t xml:space="preserve">Sustainability</w:t>
      </w:r>
      <w:r>
        <w:t xml:space="preserve">, v. 16, n. 7, 2856, 2024.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2023</w:t>
      </w:r>
      <w:r>
        <w:t xml:space="preserve">. Paris: IEA, set. 2023.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IPCC – INTERGOVERNMENTAL PANEL ON CLIMATE CHANGE.</w:t>
      </w:r>
      <w:r>
        <w:t xml:space="preserve"> </w:t>
      </w:r>
      <w:r>
        <w:rPr>
          <w:b/>
          <w:bCs/>
        </w:rPr>
        <w:t xml:space="preserve">2006 IPCC Guidelines for National Greenhouse Gas Inventories</w:t>
      </w:r>
      <w:r>
        <w:t xml:space="preserve">. v. 2: Energy. Hayama: IGES, 2006.</w:t>
      </w:r>
    </w:p>
    <w:p>
      <w:pPr>
        <w:pStyle w:val="Referencia"/>
      </w:pPr>
      <w:r>
        <w:t xml:space="preserve">MCTI – MINISTÉRIO DA CIÊNCIA, TECNOLOGIA E INOVAÇÃO.</w:t>
      </w:r>
      <w:r>
        <w:t xml:space="preserve"> </w:t>
      </w:r>
      <w:r>
        <w:rPr>
          <w:b/>
          <w:bCs/>
        </w:rPr>
        <w:t xml:space="preserve">Fatores de emissão de CO₂ pela geração de energia elétrica no Sistema Interligado Nacional</w:t>
      </w:r>
      <w:r>
        <w:t xml:space="preserve">. Brasília: MCTI, 2025. Disponível em: https://www.gov.br/mcti/pt-br/acompanhe-o-mcti/sirene/dados-e-ferramentas/fatores-de-emissao.</w:t>
      </w:r>
    </w:p>
    <w:p>
      <w:pPr>
        <w:pStyle w:val="Referencia"/>
      </w:pPr>
      <w:r>
        <w:t xml:space="preserve">MOVIMENTO ECONÔMICO.</w:t>
      </w:r>
      <w:r>
        <w:t xml:space="preserve"> </w:t>
      </w:r>
      <w:r>
        <w:rPr>
          <w:b/>
          <w:bCs/>
        </w:rPr>
        <w:t xml:space="preserve">Aneel conclui tarifas de transmissão e NE sai favorecido no ciclo 2026/2027</w:t>
      </w:r>
      <w:r>
        <w:t xml:space="preserve">. 29 jun. 2026. Disponível em: https://movimentoeconomico.com.br/economia/energia/2026/06/29/aneel-conclui-tarifas-de-transmissao-e-ne-sai-favorecido-no-ciclo-2026-2027/. Acesso em: 13 out. 2026.</w:t>
      </w:r>
    </w:p>
    <w:p>
      <w:pPr>
        <w:pStyle w:val="Referencia"/>
      </w:pPr>
      <w:r>
        <w:t xml:space="preserve">NOVACANA.</w:t>
      </w:r>
      <w:r>
        <w:t xml:space="preserve"> </w:t>
      </w:r>
      <w:r>
        <w:rPr>
          <w:b/>
          <w:bCs/>
        </w:rPr>
        <w:t xml:space="preserve">Custo de produzir hidrogênio verde no Brasil pode cair 51% com incentivos, diz Cela</w:t>
      </w:r>
      <w:r>
        <w:t xml:space="preserve">. 1 set. 2023. Disponível em: https://www.novacana.com/noticias/custo-produzir-hidrogenio-verde-brasil-cair-51-incentivos-cela-010923. Acesso em: 20 out. 2026.</w:t>
      </w:r>
    </w:p>
    <w:p>
      <w:pPr>
        <w:pStyle w:val="Referencia"/>
      </w:pPr>
      <w:r>
        <w:t xml:space="preserve">NREL – NATIONAL RENEWABLE ENERGY LABORATORY.</w:t>
      </w:r>
      <w:r>
        <w:t xml:space="preserve"> </w:t>
      </w:r>
      <w:r>
        <w:rPr>
          <w:b/>
          <w:bCs/>
        </w:rPr>
        <w:t xml:space="preserve">2024 Annual Technology Baseline</w:t>
      </w:r>
      <w:r>
        <w:t xml:space="preserve">: utility-scale battery storage. Golden: NREL, 2024. Disponível em: https://atb.nrel.gov/electricity/2024/utility-scale_battery_storage. Acesso em: 13 out. 2026.</w:t>
      </w:r>
    </w:p>
    <w:p>
      <w:pPr>
        <w:pStyle w:val="Referencia"/>
      </w:pPr>
      <w:r>
        <w:t xml:space="preserve">ONS – OPERADOR NACIONAL DO SISTEMA ELÉTRICO.</w:t>
      </w:r>
      <w:r>
        <w:t xml:space="preserve"> </w:t>
      </w:r>
      <w:r>
        <w:rPr>
          <w:b/>
          <w:bCs/>
        </w:rPr>
        <w:t xml:space="preserve">Geração por usina em base horária</w:t>
      </w:r>
      <w:r>
        <w:t xml:space="preserve">. Portal de Dados Abertos do ONS, 2026. Disponível em: https://dados.ons.org.br. Acesso em: 14 out. 2026.</w:t>
      </w:r>
    </w:p>
    <w:p>
      <w:pPr>
        <w:pStyle w:val="Referencia"/>
      </w:pPr>
      <w:r>
        <w:t xml:space="preserve">RADAR ENERGIA.</w:t>
      </w:r>
      <w:r>
        <w:t xml:space="preserve"> </w:t>
      </w:r>
      <w:r>
        <w:rPr>
          <w:b/>
          <w:bCs/>
        </w:rPr>
        <w:t xml:space="preserve">Aneel homologa tarifas de transmissão 2026/2027 com alta de 9,41% na RAP e impacto médio de 1,1% ao consumidor</w:t>
      </w:r>
      <w:r>
        <w:t xml:space="preserve">. 2026. Disponível em: https://portalradarenergia.com.br/noticias/aneel-homologa-tarifas-de-transmissao-2026-2027-com-alta-de-9-41-na-rap-e-impact-9e740a13. Acesso em: 13 out. 2026.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SCHLÖMER,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Annex III: technology-specific cost and performance parameters.</w:t>
      </w:r>
      <w:r>
        <w:t xml:space="preserve"> </w:t>
      </w:r>
      <w:r>
        <w:rPr>
          <w:i/>
          <w:iCs/>
        </w:rPr>
        <w:t xml:space="preserve">In</w:t>
      </w:r>
      <w:r>
        <w:t xml:space="preserve">: IPCC – INTERGOVERNMENTAL PANEL ON CLIMATE CHANGE.</w:t>
      </w:r>
      <w:r>
        <w:t xml:space="preserve"> </w:t>
      </w:r>
      <w:r>
        <w:rPr>
          <w:b/>
          <w:bCs/>
        </w:rPr>
        <w:t xml:space="preserve">Climate Change 2014</w:t>
      </w:r>
      <w:r>
        <w:t xml:space="preserve">: mitigation of climate change. Cambridge: Cambridge University Press, 2014.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UNIÃO EUROPEIA. Regulamento Delegado (UE) 2023/1184 da Comissão, de 10 de fevereiro de 2023, que completa a Diretiva (UE) 2018/2001 do Parlamento Europeu e do Conselho mediante o estabelecimento de uma metodologia da União que defina regras pormenorizadas para a produção de combustíveis líquidos e gasosos renováveis de origem não biológica para os transportes.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2023a.</w:t>
      </w:r>
    </w:p>
    <w:p>
      <w:pPr>
        <w:pStyle w:val="Referencia"/>
      </w:pPr>
      <w:r>
        <w:t xml:space="preserve">UNIÃO EUROPEIA. Regulamento Delegado (UE) 2023/1185 da Comissão, de 10 de fevereiro de 2023, que estabelece um limiar mínimo de redução das emissões de gases com efeito de estufa para os combustíveis de carbono reciclado e uma metodologia de avaliação da redução das emissões dos combustíveis renováveis de origem não biológica.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2023b.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2026-10-20T16:40:44Z</dcterms:created>
  <dcterms:modified xsi:type="dcterms:W3CDTF">2026-10-20T16:40:44Z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