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O tamanho desse viés é medido no Capítulo 4 por uma operação em horizonte rolante de 48 h, com o PLD conhecido na véspera e a geração FV prevista por persistência: em 2025, a perda é de no máximo 0,54% do lucro operacional (Subseção 4.3.2).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GARCÍA-MIGUEL, P. L. C.; ZARILLI, D.; ALONSO-MARTINEZ, J.; GARCÍA PLAZA, M.; ARNALTES GÓMEZ, S. Optimal operation and market integration of a hybrid farm with green hydrogen and energy storage: a stochastic approach considering wind and electricity price uncertainties.</w:t>
      </w:r>
      <w:r>
        <w:t xml:space="preserve"> </w:t>
      </w:r>
      <w:r>
        <w:rPr>
          <w:b/>
          <w:bCs/>
        </w:rPr>
        <w:t xml:space="preserve">Sustainability</w:t>
      </w:r>
      <w:r>
        <w:t xml:space="preserve">, v. 16, n. 7, 2856, 2024.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2026-10-19T13:11:09Z</dcterms:created>
  <dcterms:modified xsi:type="dcterms:W3CDTF">2026-10-19T13:11:09Z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