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9.png" ContentType="image/png"/>
  <Override PartName="/word/media/rId38.png" ContentType="image/png"/>
  <Override PartName="/word/media/rId42.png" ContentType="image/png"/>
  <Override PartName="/word/media/rId45.png" ContentType="image/png"/>
  <Override PartName="/word/media/rId34.png" ContentType="image/png"/>
  <Override PartName="/word/media/rId17.png" ContentType="image/png"/>
  <Override PartName="/word/media/rId24.png" ContentType="image/png"/>
  <Override PartName="/word/media/rId52.png" ContentType="image/png"/>
  <Override PartName="/word/media/rId4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 comparação da composição, porém, não isola o efeito de um único fator, pois os dois casos diferem em quatro hipóteses: os anos de preço (2025 contra 2021 a 2025), a base de irradiância (ERA5 de 2023, reposicionada no calendário de 2025, contra SARAH-3), a regra de despacho do ONS (perfil fixo contra perfil baseado no PLD) e o custo de partida do eletrolisador (nulo contra R$ 500 por partida). Embora a série ERA5 apresente fator de capacidade FV ligeiramente inferior ao da média dos cenários SARAH-3 (16,9% contra 17,5%), o caso determinístico produz mais hidrogênio. Duas causas contribuem para isso: no modelo estocástico, os picos de PLD do cenário de 2021, que superam o valor da energia no eletrolisador, tornam a exportação ao MCP mais vantajosa em parte das horas, e o custo de partida desestimula ligamentos curtos do eletrolisador. A coincidência das potências ótimas, apesar dessas diferenças,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 caso sem contrato, os dois tratamentos diferem em 0,01% (ano de 2021, 57,5 MW). Por isso, os casos com contrato de hidrogênio, apresentados nas Subseções 4.2.3, 4.3.4 e 4.3.7, foram calculados com a fronteira da relaxação.</w:t>
      </w:r>
    </w:p>
    <w:bookmarkEnd w:id="12"/>
    <w:bookmarkStart w:id="23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4.2 e na Figura 4.2.</w:t>
      </w:r>
    </w:p>
    <w:p>
      <w:pPr>
        <w:pStyle w:val="Legenda"/>
      </w:pPr>
      <w:r>
        <w:t xml:space="preserve">Tabela 4.2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−489 (−655 a −277)</w:t>
            </w:r>
          </w:p>
        </w:tc>
        <w:tc>
          <w:tcPr/>
          <w:p>
            <w:pPr>
              <w:pStyle w:val="Compact"/>
            </w:pPr>
            <w:r>
              <w:t xml:space="preserve">−412</w:t>
            </w:r>
          </w:p>
        </w:tc>
        <w:tc>
          <w:tcPr/>
          <w:p>
            <w:pPr>
              <w:pStyle w:val="Compact"/>
            </w:pPr>
            <w:r>
              <w:t xml:space="preserve">−2,3%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−527 (−693 a −315)</w:t>
            </w:r>
          </w:p>
        </w:tc>
        <w:tc>
          <w:tcPr/>
          <w:p>
            <w:pPr>
              <w:pStyle w:val="Compact"/>
            </w:pPr>
            <w:r>
              <w:t xml:space="preserve">−460</w:t>
            </w:r>
          </w:p>
        </w:tc>
        <w:tc>
          <w:tcPr/>
          <w:p>
            <w:pPr>
              <w:pStyle w:val="Compact"/>
            </w:pPr>
            <w:r>
              <w:t xml:space="preserve">−3,8%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−506 (−672 a −295)</w:t>
            </w:r>
          </w:p>
        </w:tc>
        <w:tc>
          <w:tcPr/>
          <w:p>
            <w:pPr>
              <w:pStyle w:val="Compact"/>
            </w:pPr>
            <w:r>
              <w:t xml:space="preserve">−434</w:t>
            </w:r>
          </w:p>
        </w:tc>
        <w:tc>
          <w:tcPr/>
          <w:p>
            <w:pPr>
              <w:pStyle w:val="Compact"/>
            </w:pPr>
            <w:r>
              <w:t xml:space="preserve">−3,0%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−362 (−528 a −150)</w:t>
            </w:r>
          </w:p>
        </w:tc>
        <w:tc>
          <w:tcPr/>
          <w:p>
            <w:pPr>
              <w:pStyle w:val="Compact"/>
            </w:pPr>
            <w:r>
              <w:t xml:space="preserve">−251</w:t>
            </w:r>
          </w:p>
        </w:tc>
        <w:tc>
          <w:tcPr/>
          <w:p>
            <w:pPr>
              <w:pStyle w:val="Compact"/>
            </w:pPr>
            <w:r>
              <w:t xml:space="preserve">2,2%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−482 (−648 a −270)</w:t>
            </w:r>
          </w:p>
        </w:tc>
        <w:tc>
          <w:tcPr/>
          <w:p>
            <w:pPr>
              <w:pStyle w:val="Compact"/>
            </w:pPr>
            <w:r>
              <w:t xml:space="preserve">−403</w:t>
            </w:r>
          </w:p>
        </w:tc>
        <w:tc>
          <w:tcPr/>
          <w:p>
            <w:pPr>
              <w:pStyle w:val="Compact"/>
            </w:pPr>
            <w:r>
              <w:t xml:space="preserve">−2,0%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−362 (−528 a −151)</w:t>
            </w:r>
          </w:p>
        </w:tc>
        <w:tc>
          <w:tcPr/>
          <w:p>
            <w:pPr>
              <w:pStyle w:val="Compact"/>
            </w:pPr>
            <w:r>
              <w:t xml:space="preserve">−251</w:t>
            </w:r>
          </w:p>
        </w:tc>
        <w:tc>
          <w:tcPr/>
          <w:p>
            <w:pPr>
              <w:pStyle w:val="Compact"/>
            </w:pPr>
            <w:r>
              <w:t xml:space="preserve">2,2%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−364 (−530 a −152)</w:t>
            </w:r>
          </w:p>
        </w:tc>
        <w:tc>
          <w:tcPr/>
          <w:p>
            <w:pPr>
              <w:pStyle w:val="Compact"/>
            </w:pPr>
            <w:r>
              <w:t xml:space="preserve">−253</w:t>
            </w:r>
          </w:p>
        </w:tc>
        <w:tc>
          <w:tcPr/>
          <w:p>
            <w:pPr>
              <w:pStyle w:val="Compact"/>
            </w:pPr>
            <w:r>
              <w:t xml:space="preserve">2,2%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−457 (−623 a −245)</w:t>
            </w:r>
          </w:p>
        </w:tc>
        <w:tc>
          <w:tcPr/>
          <w:p>
            <w:pPr>
              <w:pStyle w:val="Compact"/>
            </w:pPr>
            <w:r>
              <w:t xml:space="preserve">−371</w:t>
            </w:r>
          </w:p>
        </w:tc>
        <w:tc>
          <w:tcPr/>
          <w:p>
            <w:pPr>
              <w:pStyle w:val="Compact"/>
            </w:pPr>
            <w:r>
              <w:t xml:space="preserve">−1,0%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−475 (−641 a −264)</w:t>
            </w:r>
          </w:p>
        </w:tc>
        <w:tc>
          <w:tcPr/>
          <w:p>
            <w:pPr>
              <w:pStyle w:val="Compact"/>
            </w:pPr>
            <w:r>
              <w:t xml:space="preserve">−395</w:t>
            </w:r>
          </w:p>
        </w:tc>
        <w:tc>
          <w:tcPr/>
          <w:p>
            <w:pPr>
              <w:pStyle w:val="Compact"/>
            </w:pPr>
            <w:r>
              <w:t xml:space="preserve">−1,7%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−444 (−585 a −276)</w:t>
            </w:r>
          </w:p>
        </w:tc>
        <w:tc>
          <w:tcPr/>
          <w:p>
            <w:pPr>
              <w:pStyle w:val="Compact"/>
            </w:pPr>
            <w:r>
              <w:t xml:space="preserve">−376</w:t>
            </w:r>
          </w:p>
        </w:tc>
        <w:tc>
          <w:tcPr/>
          <w:p>
            <w:pPr>
              <w:pStyle w:val="Compact"/>
            </w:pPr>
            <w:r>
              <w:t xml:space="preserve">−2,5%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862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−550 (−740 a −294)</w:t>
            </w:r>
          </w:p>
        </w:tc>
        <w:tc>
          <w:tcPr/>
          <w:p>
            <w:pPr>
              <w:pStyle w:val="Compact"/>
            </w:pPr>
            <w:r>
              <w:t xml:space="preserve">−467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</w:tr>
    </w:tbl>
    <w:p>
      <w:pPr>
        <w:pStyle w:val="Fonte"/>
      </w:pPr>
      <w:r>
        <w:t xml:space="preserve">Fonte: elaborado pelo autor. Investimento, TIR e preço de equilíbrio do H₂ (H₂ eq., à taxa de 12,1%) com investimento central; entre parênteses, VPL a 12,1% com investimento alto e baixo. O lucro operacional exclui a degradação do módulo LRCAP, coberta pelo O&amp;M fixo, e o fluxo desconta o O&amp;M fixo, o uso da rede e o PIS/Cofins de 3,65% sobre a receita bruta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é economicamente viável. No caso de referência, o investimento de R$ 781 milhões — R$ 212 milhões na usina FV, R$ 380 milhões no BESS e R$ 189 milhões no eletrolisador — gera fluxo anual de R$ 43,1 milhões, após R$ 18,3 milhões de O&amp;M fixo, R$ 7,9 milhões de uso da rede e R$ 2,7 milhões de PIS/Cofins, e a TIR real é negativa (−2,3%). O preço do hidrogênio que tornaria o VPL nulo à taxa de 12,1% é de cerca de R$ 108/kg, mais que o triplo do valor adotado (R$ 84/kg à taxa de 8%). Mesmo o caso de importação de energia, o de maior lucro, tem VPL negativo em toda a faixa de investimento e nas duas taxas; no cenário mais favorável, com investimento baixo e taxa de 8%, o VPL é de −R$ 32 milhões,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ganho, de R$ 35,5 milhões por ano depois do PIS/Cofins sobre a receita fixa, não cobre o custo anual equivalente do BESS, de R$ 66,8 milhões à taxa de 12,1% com investimento central — R$ 56,0 milhões de capital,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4.3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4.3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1.054 (60 MW)</w:t>
            </w:r>
          </w:p>
        </w:tc>
        <w:tc>
          <w:tcPr/>
          <w:p>
            <w:pPr>
              <w:pStyle w:val="Compact"/>
            </w:pPr>
            <w:r>
              <w:t xml:space="preserve">1.157 (60 MW)</w:t>
            </w:r>
          </w:p>
        </w:tc>
        <w:tc>
          <w:tcPr/>
          <w:p>
            <w:pPr>
              <w:pStyle w:val="Compact"/>
            </w:pPr>
            <w:r>
              <w:t xml:space="preserve">1.260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870 (60 MW)</w:t>
            </w:r>
          </w:p>
        </w:tc>
        <w:tc>
          <w:tcPr/>
          <w:p>
            <w:pPr>
              <w:pStyle w:val="Compact"/>
            </w:pPr>
            <w:r>
              <w:t xml:space="preserve">954 (60 MW)</w:t>
            </w:r>
          </w:p>
        </w:tc>
        <w:tc>
          <w:tcPr/>
          <w:p>
            <w:pPr>
              <w:pStyle w:val="Compact"/>
            </w:pPr>
            <w:r>
              <w:t xml:space="preserve">1.039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R$ 1,157 milhão/(MW·ano) e corresponde ao custo anual equivalente do BESS por MW, acrescido do PIS/Cofins sobre a receita fixa (Figura 4.3(b)): R$ 934 mil de capital, R$ 158 mil de O&amp;M com reposição de módulos, R$ 22 mil de acréscimo de uso da rede e R$ 43 mil de tributos sobre a receita.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39% o preço médio obtido por termelétricas existentes no LRCAP de março de 2026 (R$ 831 mil/(MW·ano)) — mesmo no cenário mais favorável, com investimento baixo e taxa de 8%, ele fica em R$ 870 mil — e é muito inferior ao das termelétricas e hidrelétricas do leilão anterior (R$ 2,33 milhões/(MW·ano)). Isso sugere que o armazenamento em baterias é competitivo frente à expansão térmica, mas não frente às usinas existentes.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4.4.</w:t>
      </w:r>
    </w:p>
    <w:p>
      <w:pPr>
        <w:pStyle w:val="Legenda"/>
      </w:pPr>
      <w:r>
        <w:t xml:space="preserve">Tabela 4.4 – Lance mínimo para a construção do BESS com uma hipótese alterada de cada vez em relação ao caso central (investimento de referência de R$ 5.500/kW para 4 h, taxa de 12,1%, PIS/Cofins de 3,65% e receita reajustada pelo IPCA)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1.054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1.260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1.403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1.120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1.194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954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1.091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1.222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1.146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1.270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1.346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1.193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PIS/Cofins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PIS/Cofins não cumulativo (9,25%)</w:t>
            </w:r>
          </w:p>
        </w:tc>
        <w:tc>
          <w:tcPr/>
          <w:p>
            <w:pPr>
              <w:pStyle w:val="Compact"/>
            </w:pPr>
            <w:r>
              <w:t xml:space="preserve">1.228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sem reajuste pelo IPCA (4% a.a.)</w:t>
            </w:r>
          </w:p>
        </w:tc>
        <w:tc>
          <w:tcPr/>
          <w:p>
            <w:pPr>
              <w:pStyle w:val="Compact"/>
            </w:pPr>
            <w:r>
              <w:t xml:space="preserve">1.444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1.119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1.165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(−18% com a taxa após impostos, que ignora o imposto de renda), a regra de cobrança do uso da rede (+16% se o armazenamento pagar também a TUST de consumo e +10% sem compartilhar a conexão), o investimento de referência (±9%) e o O&amp;M (±6% para ±1 ponto percentual). A parcela do custo proporcional à energia (±3%), a disponibilidade de 97% (+3%), a TUST regional (de −1% a +2%) e o consumo auxiliar (+1% com 2% da potência) pesam pouco. O compartilhamento da conexão é uma vantagem do arranjo híbrido: sem ele, a bateria pagaria a TUST sobre toda a sua potência, e o lance seria R$ 113 mil/(MW·ano) maior. Duas premissas de natureza tributária e contratual também pesam: o regime não cumulativo do PIS/Cofins, sem créditos, eleva o lance em 6%, e a falta de reajuste da receita fixa pelo IPCA, com inflação de 4% a.a., em 25%, pois a receita perderia valor real ao longo dos 15 anos; esta última é a premissa de maior efeito e deve ser confirmada no edital.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 e com a receita reajustada pelo IPCA, o lance mínimo situa-se, assim, entre R$ 1,05 milhão e R$ 1,40 milhão/(MW·ano), e sua incerteza decorre principalmente da duração de referência do custo do BESS, da regra de cobrança do uso da rede, do regime tributário, do investimento e do O&amp;M; sem reajuste, chegaria a R$ 1,44 milhão.</w:t>
      </w:r>
    </w:p>
    <w:bookmarkEnd w:id="21"/>
    <w:bookmarkStart w:id="22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4.5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4.5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1.127</w:t>
            </w:r>
          </w:p>
        </w:tc>
        <w:tc>
          <w:tcPr/>
          <w:p>
            <w:pPr>
              <w:pStyle w:val="Compact"/>
            </w:pPr>
            <w:r>
              <w:t xml:space="preserve">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1.104</w:t>
            </w:r>
          </w:p>
        </w:tc>
        <w:tc>
          <w:tcPr/>
          <w:p>
            <w:pPr>
              <w:pStyle w:val="Compact"/>
            </w:pPr>
            <w:r>
              <w:t xml:space="preserve">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1.240</w:t>
            </w:r>
          </w:p>
        </w:tc>
        <w:tc>
          <w:tcPr/>
          <w:p>
            <w:pPr>
              <w:pStyle w:val="Compact"/>
            </w:pPr>
            <w:r>
              <w:t xml:space="preserve">1.043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R$ 2,1 milhões por ano ao lucro, mas essa capacidade custa R$ 4,7 milhões por ano entre capital, O&amp;M e uso da rede; já os 12 MWh além do necessário para 60 MW custam R$ 30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R$ 1,127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R$ 1,104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R$ 1,240 milhão/(MW·ano), R$ 136 mil acima do híbrido: a TUST de R$ 131 mil/(MW·ano), acrescida do PIS/Cofins.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p>
      <w:pPr>
        <w:pStyle w:val="BodyText"/>
      </w:pPr>
      <w:r>
        <w:t xml:space="preserve">Essa vantagem, porém, pressupõe que a usina FV com o eletrolisador seja construída. Sozinha, sem o BESS, essa usina exige R$ 402 milhões de investimento e gera fluxo anual de R$ 18,6 milhões, após O&amp;M, uso da rede e PIS/Cofins, o que resulta em VPL de −R$ 276 milhões à taxa de 12,1% (−R$ 242 milhões a 8%). Com o hidrogênio a R$ 35/kg, portanto, a usina que hospeda a bateria não se justificaria por si. O lance de R$ 1,104 milhão/(MW·ano) vale para um proponente cuja usina FV exista ou se justifique por outras razões — por exemplo, uma usina já em operação ou com a energia vendida em contrato —; para um proponente que constrói só a bateria, a referência é o lance da bateria isolada, de R$ 1,240 milhão/(MW·ano).</w:t>
      </w:r>
    </w:p>
    <w:bookmarkEnd w:id="22"/>
    <w:bookmarkEnd w:id="23"/>
    <w:bookmarkStart w:id="56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bookmarkStart w:id="27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as/estocastico_unife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4.6.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4.6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 foi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;</m:t>
        </m:r>
        <m:r>
          <m:t> 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 e tolerância de 0,01%,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inferior a 0,01% em todos os casos. 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o CVaR coincide com o lucro do pior ano, 2022. À medida que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aumenta, a potência ótima recua de 54,4 MW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 para 53,4 MW (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 1), 52,7 MW (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) e 52,1 MW (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). Entre os extremos, o lucro esperado cai R$ 81 mil por ano (0,12%) e o CVaR sobe R$ 85 mil (0,13%). Há, portanto, troca entre risco e retorno, mas ela é pequena. O CVaR desloca a decisão em direção ao ótimo do pior ano, de 51,5 MW (Tabela 4.7):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, o lucro de 2022 fica a apenas R$ 1,4 mil do máximo possível naquele cenário. A troca é pequena porque a dispersão entre os cenários pouco depende da decisão de contratação, como se observa na Figura 4.4(b): as barras de cada decisão se deslocam praticamente em paralelo entre os anos. Com a tolerância de 0,1% usada inicialmente, a fronteira parecia degenerar em um único ponto (53,4 MW para todos os pesos), pois as diferenças entre os seus pontos, de até R$ 85 mil por ano, são da mesma ordem que essa tolerância, cerca de R$ 68 mil.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7"/>
    <w:bookmarkStart w:id="28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4.7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4.7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bookmarkEnd w:id="28"/>
    <w:bookmarkStart w:id="32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mil/(MW·ano), dos quais R$ 73 mil correspondem à degradação do módulo LRCAP (R$ 50/MWh sobre cerca de 1.461 MWh/MW injetados por ano) e apenas R$ 3 mil à perda de lucro no MCP e no hidrogênio,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as/curva_ofe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em todos os casos avaliados (R$ 76 mil a R$ 96 mil/(MW·ano)),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2"/>
    <w:bookmarkStart w:id="33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4.8 resume, para a receita fixa de referência, a potência ótima, o lucro e a operação média de cada caso.</w:t>
      </w:r>
    </w:p>
    <w:p>
      <w:pPr>
        <w:pStyle w:val="Legenda"/>
      </w:pPr>
      <w:r>
        <w:t xml:space="preserve">Tabela 4.8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3"/>
    <w:bookmarkStart w:id="37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critério europeu. Para cada limite, consideram-se o fator de emissão horário médio do SIN e o fator marginal de uma termelétrica a gás natural (Seção 3.5). A Figura 4.6 e a Tabela 4.9 comparam esses casos com o caso de referência, em que a importação é vedada, e com o de importação livre.</w:t>
      </w:r>
    </w:p>
    <w:p>
      <w:pPr>
        <w:pStyle w:val="Legenda"/>
      </w:pPr>
      <w:r>
        <w:t xml:space="preserve">Figura 4.6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as/curva_oferta_emisso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4.9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R$ 1,157 milhão/(MW·ano) com o BESS de referência e em R$ 1,104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4.2): à taxa de 12,1%, o VPL passa de −R$ 489 milhões no caso de referência para −R$ 457 milhões com o limite de 7 kgCO₂/kgH₂ e fator marginal e para −R$ 362 milhões com fator médio, e o preço de equilíbrio do hidrogênio cai de R$ 108/kg para R$ 80/kg e R$ 57/kg, respectivamente.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bookmarkEnd w:id="37"/>
    <w:bookmarkStart w:id="41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4.7 e a Tabela 4.10 apresentam a curva de oferta do caso de referência para 50, 150 e 365 despachos por ano.</w:t>
      </w:r>
    </w:p>
    <w:p>
      <w:pPr>
        <w:pStyle w:val="Legenda"/>
      </w:pPr>
      <w:r>
        <w:t xml:space="preserve">Figura 4.7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as/curva_oferta_ciclo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4.10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4.7(b)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41"/>
    <w:bookmarkStart w:id="48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4.8 e a Tabela 4.11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4.8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as/curva_oferta_degradaca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4.11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854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4.8(b):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4.9 e a Tabela 4.12 comparam eletrolisadores de 10, 17,5 e 25 MW, mantida a usina FV de 50 MWp.</w:t>
      </w:r>
    </w:p>
    <w:p>
      <w:pPr>
        <w:pStyle w:val="Legenda"/>
      </w:pPr>
      <w:r>
        <w:t xml:space="preserve">Figura 4.9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eletrolisado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R$ 1,078 milhão para R$ 1,056 milhão/(MW·ano) (Tabela 4.4). A potência ótima para a receita de referência permanece em 55 MW.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48"/>
    <w:bookmarkStart w:id="55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à taxa central de 12,1% a.a. em 15 anos resulta em R$ 738 mil a R$ 886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4.10.</w:t>
      </w:r>
    </w:p>
    <w:p>
      <w:pPr>
        <w:pStyle w:val="Legenda"/>
      </w:pPr>
      <w:r>
        <w:t xml:space="preserve">Figura 4.10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4.11).</w:t>
      </w:r>
    </w:p>
    <w:p>
      <w:pPr>
        <w:pStyle w:val="Legenda"/>
      </w:pPr>
      <w:r>
        <w:t xml:space="preserve">Figura 4.11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4.10 e 4.11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5"/>
    <w:bookmarkEnd w:id="56"/>
    <w:bookmarkStart w:id="57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R$ 1,10 milhão/(MW·ano) com a bateria dimensionada para o contrato</w:t>
      </w:r>
      <w:r>
        <w:t xml:space="preserve"> </w:t>
      </w:r>
      <w:r>
        <w:t xml:space="preserve">(R$ 1,16 milhão com o BESS de referência), com investimento de referência de R$ 5.500/kW para 4 h, taxa de 12,1% antes de impostos, PIS/Cofins de 3,65% e receita fixa reajustada pelo IPCA; varia de R$ 1,05 milhão a R$ 1,40 milhão/(MW·ano) com o BESS de referência, conforme a duração de referência do custo da bateria, a regra de cobrança do uso da rede, o regime tributário, o investimento, o O&amp;M e a disponibilidade, e chegaria a R$ 1,44 milhão se a receita fixa não fosse reajustada; corresponde ao custo anual equivalente do BESS por MW acrescido dos tributos sobre a receita (Equação (3.47)) e supera o preço obtido por termelétricas existentes no LRCAP de 2026 (R$ 831 mil); com a taxa após impostos, que ignora o imposto de renda, cairia para R$ 907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conexão, condicionado à existência da usina:</w:t>
      </w:r>
      <w:r>
        <w:t xml:space="preserve"> </w:t>
      </w:r>
      <w:r>
        <w:t xml:space="preserve">uma bateria isolada teria lance de R$ 1,24 milhão/(MW·ano), R$ 136 mil acima do híbrido, mas a usina FV com o eletrolisador que hospeda a bateria tem, sozinha, VPL de −R$ 276 milhões; o lance do híbrido vale, portanto, para uma usina que exista ou se justifique por outras razões. As hipóteses sobre o hidrogênio alteram pouco o lance (redução de até 5%, no contrato firme de 3 t/dia com tanque de 10 t, efeito que depende da multa contratual adotada e que ignora o custo do tanque); essas hipóteses determinam, porém, a viabilidade do empreendimento como um todo: com os parâmetros adotados, nenhum caso se paga, e o preço de equilíbrio do hidrogênio no caso de referência é de cerca de R$ 108/kg;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R$ 66,8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57"/>
    <w:bookmarkStart w:id="58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8"/>
    <w:bookmarkEnd w:id="59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34" Target="media/rId34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52" Target="media/rId52.png" /><Relationship Type="http://schemas.openxmlformats.org/officeDocument/2006/relationships/image" Id="rId49" Target="media/rId4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2026-10-15T17:37:04Z</dcterms:created>
  <dcterms:modified xsi:type="dcterms:W3CDTF">2026-10-15T17:37:04Z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