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resume a implementação computacional; e a Seção 3.9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custos de investimento não são incluídos, uma vez que as capacidades são fixas.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(3.5), com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σ</m:t>
            </m:r>
          </m:e>
        </m:acc>
        <m:r>
          <m:t>ρ</m:t>
        </m:r>
      </m:oMath>
      <w:r>
        <w:t xml:space="preserve"> </w:t>
      </w:r>
      <w:r>
        <w:t xml:space="preserve">(módulo inicialmente carregado):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e a entrega mínima diária são expressos pelas Equações (3.17) e (3.18):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p>
      <w:pPr>
        <w:pStyle w:val="FirstParagraph"/>
      </w:pPr>
      <w:r>
        <w:t xml:space="preserve">O modelo resultante, composto pela função objetivo da Equação (3.1) e pelas restrições das Equações (3.3) a (3.18), é um MILP. Para um horizonte de uma semana (168 h), o problema possui 1.681 variáveis contínuas, 505 variáveis binárias e 2.692 restrições; para um ano (8.760 h), 87.601 variáveis contínuas, 26.281 binárias e 140.164 restrições.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A receita fixa do LRCAP e o preço do hidrogênio não possuem, até o momento, referências de mercado consolidadas no Brasil e são, por isso, objeto de análise de sensibilidade.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bloco, o problema anual pode ser reescrito conforme a Equação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(3.22),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(3.26) a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(3.24)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(3.33) e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(3.32),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37" w:name="implementação-computacional"/>
    <w:p>
      <w:pPr>
        <w:pStyle w:val="Heading2"/>
      </w:pPr>
      <w:r>
        <w:t xml:space="preserve">3.8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e (vi)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ONS, o limite do ponto de conexão e a validade dos cortes de Benders. O código e os dados são mantidos sob controle de versão, o que assegura a reprodutibilidade dos resultados.</w:t>
      </w:r>
    </w:p>
    <w:bookmarkEnd w:id="37"/>
    <w:bookmarkStart w:id="38" w:name="hipóteses-e-limitações"/>
    <w:p>
      <w:pPr>
        <w:pStyle w:val="Heading2"/>
      </w:pPr>
      <w:r>
        <w:t xml:space="preserve">3.9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é proporcional à energia descarregada, sem dependência da profundidade de descarga;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condições cíclicas semanais:</w:t>
      </w:r>
      <w:r>
        <w:t xml:space="preserve"> </w:t>
      </w:r>
      <w:r>
        <w:t xml:space="preserve">a decomposição impõe que os estados de armazenamento retornem ao valor inicial ao final de cada semana, impedindo transferências de energia ou de hidrogênio entre semanas;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38"/>
    <w:bookmarkStart w:id="39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Disponível em: https://dadosabertos.ccee.org.br. Acesso em: 27 set.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39"/>
    <w:bookmarkEnd w:id="40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2026-10-03T13:25:09Z</dcterms:created>
  <dcterms:modified xsi:type="dcterms:W3CDTF">2026-10-03T13:25:09Z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