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critério europeu para combustíveis renováveis de origem não biológica, de redução de 70% das emissões em relação ao comparador fóssil de 94 gCO₂eq/MJ (UNIÃO EUROPEIA, 2023), e é avaliado como sensibilidade.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A receita fixa é multiplicada pela disponibilidade</w:t>
      </w:r>
      <w:r>
        <w:t xml:space="preserve"> </w:t>
      </w:r>
      <m:oMath>
        <m:r>
          <m:t>d</m:t>
        </m:r>
      </m:oMath>
      <w:r>
        <w:t xml:space="preserve">, e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 e uso mercantil, cuja soma é o lance.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d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d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capital, O&amp;M com reposição de módulos e uso da rede —, acrescido da recarga e do consumo auxiliar não custeados pela CONCAP e dividido pela disponibilidade.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sem financiamento, sem benefícios fiscais e sem valor residual; o O&amp;M fixo da FV e do eletrolisador é hipotético,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2026-10-15T17:07:59Z</dcterms:created>
  <dcterms:modified xsi:type="dcterms:W3CDTF">2026-10-15T17:07:59Z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