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(3.21)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(3.42):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A receita fixa é multiplicada pela disponibilidade</w:t>
      </w:r>
      <w:r>
        <w:t xml:space="preserve"> </w:t>
      </w:r>
      <m:oMath>
        <m:r>
          <m:t>d</m:t>
        </m:r>
      </m:oMath>
      <w:r>
        <w:t xml:space="preserve">, e a potência ofertada passa a ser dada pela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 e uso mercantil, cuja soma é o lance.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(3.42)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d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d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capital, O&amp;M com reposição de módulos e uso da rede —, acrescido da recarga e do consumo auxiliar não custeados pela CONCAP e dividido pela disponibilidade.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(3.45),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sem financiamento, sem benefícios fiscais e sem valor residual; o O&amp;M fixo da FV e do eletrolisador é hipotético,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2026-10-13T01:42:59Z</dcterms:created>
  <dcterms:modified xsi:type="dcterms:W3CDTF">2026-10-13T01:42:59Z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