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9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17.png" ContentType="image/png"/>
  <Override PartName="/word/media/rId24.png" ContentType="image/png"/>
  <Override PartName="/word/media/rId48.png" ContentType="image/png"/>
  <Override PartName="/word/media/rId45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4.3.7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As diferenças de composição decorrem principalmente do preço. Embora a série ERA5 de 2025 apresente fator de capacidade FV ligeiramente inferior ao da média dos cenários SARAH-3 (16,9% contra 17,5%), o caso determinístico produz mais hidrogênio. No modelo estocástico, os picos de PLD do cenário de 2021, que superam o valor da energia no eletrolisador, tornam a exportação ao MCP mais vantajosa em parte das horas, o que eleva a receita média no mercado de curto prazo e reduz a produção de hidrogênio. A coincidência das potências ótimas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 caso sem contrato, os dois tratamentos diferem em 0,01% (ano de 2021, 57,5 MW). Por isso, os casos com contrato de hidrogênio, apresentados nas Subseções 4.2.3, 4.3.4 e 4.3.6, foram calculados com a fronteira da relaxação.</w:t>
      </w:r>
    </w:p>
    <w:bookmarkEnd w:id="12"/>
    <w:bookmarkStart w:id="23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−471 (−637 a −259)</w:t>
            </w:r>
          </w:p>
        </w:tc>
        <w:tc>
          <w:tcPr/>
          <w:p>
            <w:pPr>
              <w:pStyle w:val="Compact"/>
            </w:pPr>
            <w:r>
              <w:t xml:space="preserve">−389</w:t>
            </w:r>
          </w:p>
        </w:tc>
        <w:tc>
          <w:tcPr/>
          <w:p>
            <w:pPr>
              <w:pStyle w:val="Compact"/>
            </w:pPr>
            <w:r>
              <w:t xml:space="preserve">−1,6%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−510 (−676 a −299)</w:t>
            </w:r>
          </w:p>
        </w:tc>
        <w:tc>
          <w:tcPr/>
          <w:p>
            <w:pPr>
              <w:pStyle w:val="Compact"/>
            </w:pPr>
            <w:r>
              <w:t xml:space="preserve">−439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−488 (−654 a −277)</w:t>
            </w:r>
          </w:p>
        </w:tc>
        <w:tc>
          <w:tcPr/>
          <w:p>
            <w:pPr>
              <w:pStyle w:val="Compact"/>
            </w:pPr>
            <w:r>
              <w:t xml:space="preserve">−411</w:t>
            </w:r>
          </w:p>
        </w:tc>
        <w:tc>
          <w:tcPr/>
          <w:p>
            <w:pPr>
              <w:pStyle w:val="Compact"/>
            </w:pPr>
            <w:r>
              <w:t xml:space="preserve">−2,2%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−329 (−496 a −118)</w:t>
            </w:r>
          </w:p>
        </w:tc>
        <w:tc>
          <w:tcPr/>
          <w:p>
            <w:pPr>
              <w:pStyle w:val="Compact"/>
            </w:pPr>
            <w:r>
              <w:t xml:space="preserve">−210</w:t>
            </w:r>
          </w:p>
        </w:tc>
        <w:tc>
          <w:tcPr/>
          <w:p>
            <w:pPr>
              <w:pStyle w:val="Compact"/>
            </w:pPr>
            <w:r>
              <w:t xml:space="preserve">3,3%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−462 (−628 a −251)</w:t>
            </w:r>
          </w:p>
        </w:tc>
        <w:tc>
          <w:tcPr/>
          <w:p>
            <w:pPr>
              <w:pStyle w:val="Compact"/>
            </w:pPr>
            <w:r>
              <w:t xml:space="preserve">−378</w:t>
            </w:r>
          </w:p>
        </w:tc>
        <w:tc>
          <w:tcPr/>
          <w:p>
            <w:pPr>
              <w:pStyle w:val="Compact"/>
            </w:pPr>
            <w:r>
              <w:t xml:space="preserve">−1,2%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−426 (−568 a −259)</w:t>
            </w:r>
          </w:p>
        </w:tc>
        <w:tc>
          <w:tcPr/>
          <w:p>
            <w:pPr>
              <w:pStyle w:val="Compact"/>
            </w:pPr>
            <w:r>
              <w:t xml:space="preserve">−354</w:t>
            </w:r>
          </w:p>
        </w:tc>
        <w:tc>
          <w:tcPr/>
          <w:p>
            <w:pPr>
              <w:pStyle w:val="Compact"/>
            </w:pPr>
            <w:r>
              <w:t xml:space="preserve">−1,8%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862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−530 (−721 a −275)</w:t>
            </w:r>
          </w:p>
        </w:tc>
        <w:tc>
          <w:tcPr/>
          <w:p>
            <w:pPr>
              <w:pStyle w:val="Compact"/>
            </w:pPr>
            <w:r>
              <w:t xml:space="preserve">−442</w:t>
            </w:r>
          </w:p>
        </w:tc>
        <w:tc>
          <w:tcPr/>
          <w:p>
            <w:pPr>
              <w:pStyle w:val="Compact"/>
            </w:pPr>
            <w:r>
              <w:t xml:space="preserve">−1,9%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</w:tr>
    </w:tbl>
    <w:p>
      <w:pPr>
        <w:pStyle w:val="Fonte"/>
      </w:pPr>
      <w:r>
        <w:t xml:space="preserve">Fonte: elaborado pelo autor. Investimento, TIR e preço de equilíbrio do H₂ (H₂ eq., à taxa de 12,1%) com investimento central; entre parênteses, VPL a 12,1% com investimento alto e baixo. O lucro operacional exclui a degradação do módulo LRCAP, coberta pelo O&amp;M fixo, e o fluxo desconta o O&amp;M fixo e o uso da rede (Seção 3.8.2).</w:t>
      </w:r>
    </w:p>
    <w:p>
      <w:pPr>
        <w:pStyle w:val="BodyText"/>
      </w:pPr>
      <w:r>
        <w:t xml:space="preserve">Com os parâmetros adotados, nenhum caso é economicamente viável. No caso de referência, o investimento de R$ 781 milhões — R$ 212 milhões na usina FV, R$ 380 milhões no BESS e R$ 189 milhões no eletrolisador — gera fluxo anual de R$ 45,8 milhões, após R$ 18,3 milhões de O&amp;M fixo e R$ 7,9 milhões de uso da rede, e a TIR real é negativa (−1,6%). O preço do hidrogênio que tornaria o VPL nulo à taxa de 12,1% é de cerca de R$ 103/kg, quase o triplo do valor adotado (R$ 79/kg à taxa de 8%). Mesmo o caso de importação de energia, o de maior lucro, tem VPL negativo à taxa central em toda a faixa de investimento; apenas à taxa de 8% e com investimentos no limite inferior ele atinge o equilíbrio (VPL de R$ 9 milhões), o que antecipa a importância da regra de suprimento do eletrolisador discutida na Subseção 4.3.4.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 de R$ 36,7 milhões por ano não cobre o custo anual equivalente do BESS, de R$ 66,8 milhões à taxa de 12,1% com investimento central — R$ 56,0 milhões de capital,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4.3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1.015 (60 MW)</w:t>
            </w:r>
          </w:p>
        </w:tc>
        <w:tc>
          <w:tcPr/>
          <w:p>
            <w:pPr>
              <w:pStyle w:val="Compact"/>
            </w:pPr>
            <w:r>
              <w:t xml:space="preserve">1.115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838 (60 MW)</w:t>
            </w:r>
          </w:p>
        </w:tc>
        <w:tc>
          <w:tcPr/>
          <w:p>
            <w:pPr>
              <w:pStyle w:val="Compact"/>
            </w:pPr>
            <w:r>
              <w:t xml:space="preserve">919 (60 MW)</w:t>
            </w:r>
          </w:p>
        </w:tc>
        <w:tc>
          <w:tcPr/>
          <w:p>
            <w:pPr>
              <w:pStyle w:val="Compact"/>
            </w:pPr>
            <w:r>
              <w:t xml:space="preserve">1.001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R$ 1,115 milhão/(MW·ano) e coincide com o custo anual equivalente do BESS por MW (Figura 4.3(b)): R$ 934 mil de capital, R$ 158 mil de O&amp;M com reposição de módulos e R$ 22 mil de acréscimo de uso da rede.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34% o preço médio obtido por termelétricas existentes no LRCAP de março de 2026 (R$ 831 mil/(MW·ano)) — mesmo no cenário mais favorável, com investimento baixo e taxa de 8%, ele fica em R$ 838 mil — e é muito inferior ao das termelétricas e hidrelétricas do leilão anterior (R$ 2,33 milhões/(MW·ano)). Isso sugere que o armazenamento em baterias é competitivo frente à expansão térmica, mas não frente às usinas existentes.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com uma hipótese alterada de cada vez em relação ao caso central (investimento de referência de R$ 5.500/kW para 4 h e taxa de 12,1%)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1.015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1.352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1.079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1.150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919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1.051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1.178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1.104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1.132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1.297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1.127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1.149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1.078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1.127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1.122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(−18% com a taxa após impostos, que ignora o imposto de renda), a regra de cobrança do uso da rede (+16% se o armazenamento pagar também a TUST de consumo e +10% sem compartilhar a conexão), o investimento de referência (±9%) e o O&amp;M (±6% para ±1 ponto percentual). A parcela do custo proporcional à energia (±3%), a disponibilidade de 97% (+3%), a TUST regional (de −1% a +2%) e o consumo auxiliar (+1% com 2% da potência) pesam pouco. O compartilhamento da conexão é uma vantagem do arranjo híbrido: sem ele, a bateria pagaria a TUST sobre toda a sua potência, e o lance seria R$ 109 mil/(MW·ano) maior.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central, o lance mínimo situa-se, assim, entre R$ 1,02 milhão e R$ 1,35 milhão/(MW·ano), e sua incerteza decorre principalmente da duração de referência do custo do BESS, da regra de cobrança do uso da rede, do investimento e do O&amp;M.</w:t>
      </w:r>
    </w:p>
    <w:bookmarkEnd w:id="21"/>
    <w:bookmarkStart w:id="22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4.5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4.5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1.086</w:t>
            </w:r>
          </w:p>
        </w:tc>
        <w:tc>
          <w:tcPr/>
          <w:p>
            <w:pPr>
              <w:pStyle w:val="Compact"/>
            </w:pPr>
            <w:r>
              <w:t xml:space="preserve">896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1.064</w:t>
            </w:r>
          </w:p>
        </w:tc>
        <w:tc>
          <w:tcPr/>
          <w:p>
            <w:pPr>
              <w:pStyle w:val="Compact"/>
            </w:pPr>
            <w:r>
              <w:t xml:space="preserve">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1.005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R$ 2,1 milhões por ano ao lucro, mas essa capacidade custa R$ 4,7 milhões por ano entre capital, O&amp;M e uso da rede; já os 12 MWh além do necessário para 60 MW custam R$ 29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R$ 1,086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R$ 1,064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R$ 1,195 milhão/(MW·ano), R$ 131 mil acima do híbrido.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bookmarkEnd w:id="22"/>
    <w:bookmarkEnd w:id="23"/>
    <w:bookmarkStart w:id="52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bookmarkStart w:id="27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as/estocastico_unife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4.6.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4.6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retorno,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CVaR, degenerou em um único ponto: a mesma potência maximiza o lucro esperado e o lucro do pior ano,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inferior a 0,07% em todos os casos. Não há, portanto, troca entre risco e retorno nesta configuração, pois a dispersão entre os cenários pouco depende da decisão de contratação, como se observa na Figura 4.4(b): as barras de cada decisão se deslocam praticamente em paralelo entre os anos.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7"/>
    <w:bookmarkStart w:id="28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4.7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4.7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bookmarkEnd w:id="28"/>
    <w:bookmarkStart w:id="32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curva_ofe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em todos os casos avaliados (R$ 76 mil a R$ 96 mil/(MW·ano)),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2"/>
    <w:bookmarkStart w:id="33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4.8 resume, para a receita fixa de referência, a potência ótima, o lucro e a operação média de cada caso.</w:t>
      </w:r>
    </w:p>
    <w:p>
      <w:pPr>
        <w:pStyle w:val="Legenda"/>
      </w:pPr>
      <w:r>
        <w:t xml:space="preserve">Tabela 4.8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3"/>
    <w:bookmarkStart w:id="37" w:name="frequência-do-despacho-do-ons"/>
    <w:p>
      <w:pPr>
        <w:pStyle w:val="Heading3"/>
      </w:pPr>
      <w:r>
        <w:t xml:space="preserve">4.3.5 Frequência do despacho do ONS</w:t>
      </w:r>
    </w:p>
    <w:p>
      <w:pPr>
        <w:pStyle w:val="FirstParagraph"/>
      </w:pPr>
      <w:r>
        <w:t xml:space="preserve">A Figura 4.6 e a Tabela 4.9 apresentam a curva de oferta do caso de referência para 50, 150 e 365 despachos por ano.</w:t>
      </w:r>
    </w:p>
    <w:p>
      <w:pPr>
        <w:pStyle w:val="Legenda"/>
      </w:pPr>
      <w:r>
        <w:t xml:space="preserve">Figura 4.6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as/curva_oferta_ciclo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4.9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4.6(b)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(3.44).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37"/>
    <w:bookmarkStart w:id="44" w:name="custo-de-degradação-e-dimensionamento"/>
    <w:p>
      <w:pPr>
        <w:pStyle w:val="Heading3"/>
      </w:pPr>
      <w:r>
        <w:t xml:space="preserve">4.3.6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4.7 e a Tabela 4.10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4.7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curva_oferta_degradaca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854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4.7(b):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4.8 e a Tabela 4.11 comparam eletrolisadores de 10, 17,5 e 25 MW, mantida a usina FV de 50 MWp.</w:t>
      </w:r>
    </w:p>
    <w:p>
      <w:pPr>
        <w:pStyle w:val="Legenda"/>
      </w:pPr>
      <w:r>
        <w:t xml:space="preserve">Figura 4.8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as/curva_oferta_eletrolisado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4.11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R$ 1,078 milhão para R$ 1,056 milhão/(MW·ano) (Tabela 4.4). A potência ótima para a receita de referência permanece em 55 MW.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4"/>
    <w:bookmarkStart w:id="51" w:name="X5d7116e36aa75b714ebe85263b9b5917fb83cc3"/>
    <w:p>
      <w:pPr>
        <w:pStyle w:val="Heading3"/>
      </w:pPr>
      <w:r>
        <w:t xml:space="preserve">4.3.7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a 10% a.a. em 15 anos resulta em R$ 657 mil a R$ 789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4.9.</w:t>
      </w:r>
    </w:p>
    <w:p>
      <w:pPr>
        <w:pStyle w:val="Legenda"/>
      </w:pPr>
      <w:r>
        <w:t xml:space="preserve">Figura 4.9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4.10).</w:t>
      </w:r>
    </w:p>
    <w:p>
      <w:pPr>
        <w:pStyle w:val="Legenda"/>
      </w:pPr>
      <w:r>
        <w:t xml:space="preserve">Figura 4.10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4.5 e 4.6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1"/>
    <w:bookmarkEnd w:id="52"/>
    <w:bookmarkStart w:id="53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R$ 1,06 milhão/(MW·ano) com a bateria dimensionada para o contrato</w:t>
      </w:r>
      <w:r>
        <w:t xml:space="preserve"> </w:t>
      </w:r>
      <w:r>
        <w:t xml:space="preserve">(R$ 1,12 milhão com o BESS de referência), com investimento de referência de R$ 5.500/kW para 4 h e taxa de 12,1% antes de impostos; varia de R$ 1,02 milhão a R$ 1,35 milhão/(MW·ano) com o BESS de referência, conforme a duração de referência do custo da bateria, a regra de cobrança do uso da rede, o investimento, o O&amp;M e a disponibilidade; corresponde ao custo anual equivalente do BESS por MW (Equação (3.45)) e supera o preço obtido por termelétricas existentes no LRCAP de 2026 (R$ 831 mil); com a taxa após impostos, que ignora o imposto de renda, cairia para R$ 874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conexão:</w:t>
      </w:r>
      <w:r>
        <w:t xml:space="preserve"> </w:t>
      </w:r>
      <w:r>
        <w:t xml:space="preserve">uma bateria isolada teria lance de R$ 1,20 milhão/(MW·ano), R$ 131 mil acima do híbrido, e as hipóteses sobre o hidrogênio alteram pouco o lance (redução de até 5%, no contrato firme de 3 t/dia com tanque de 10 t, efeito que depende da multa contratual adotada); essas hipóteses determinam, porém, a viabilidade do empreendimento como um todo: com os parâmetros adotados, nenhum caso se paga, e o preço de equilíbrio do hidrogênio no caso de referência é de cerca de R$ 103/kg;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R$ 66,8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 — são as informações prioritárias para essa avaliação.</w:t>
      </w:r>
    </w:p>
    <w:bookmarkEnd w:id="53"/>
    <w:bookmarkStart w:id="5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4"/>
    <w:bookmarkEnd w:id="5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48" Target="media/rId48.png" /><Relationship Type="http://schemas.openxmlformats.org/officeDocument/2006/relationships/image" Id="rId45" Target="media/rId45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2026-10-13T01:47:17Z</dcterms:created>
  <dcterms:modified xsi:type="dcterms:W3CDTF">2026-10-13T01:47:17Z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