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metodologia"/>
    <w:p>
      <w:pPr>
        <w:pStyle w:val="Heading1"/>
      </w:pPr>
      <w:r>
        <w:t xml:space="preserve">3 METODOLOGIA</w:t>
      </w:r>
    </w:p>
    <w:p>
      <w:pPr>
        <w:pStyle w:val="FirstParagraph"/>
      </w:pPr>
      <w:r>
        <w:t xml:space="preserve">Este capítulo descreve o modelo de otimização desenvolvido para apoiar a decisão de um empreendedor que opera um sistema híbrido composto por usina fotovoltaica (FV), sistema de armazenamento de energia em baterias (</w:t>
      </w:r>
      <w:r>
        <w:rPr>
          <w:i/>
          <w:iCs/>
        </w:rPr>
        <w:t xml:space="preserve">Battery Energy Storage System</w:t>
      </w:r>
      <w:r>
        <w:t xml:space="preserve">, BESS) e eletrolisador para produção de hidrogênio verde, diante da possibilidade de comercializar parte da capacidade de armazenamento no Leilão de Reserva de Capacidade na forma de Potência (LRCAP) e o restante no Mercado de Curto Prazo (MCP). A Seção 3.1 apresenta o problema e o escopo do estudo; a Seção 3.2 discute o enquadramento regulatório que orienta a modelagem; a Seção 3.3 descreve o sistema; a Seção 3.4 apresenta a formulação matemática; a Seção 3.5 trata dos dados de entrada; a Seção 3.6 descreve o método de solução; a Seção 3.7 apresenta a extensão estocástica do modelo e os indicadores de valor da informação; a Seção 3.8 descreve a construção da curva de oferta no leilão e as análises de sensibilidade; a Seção 3.9 resume a implementação computacional; e a Seção 3.10 consolida as hipóteses e limitações.</w:t>
      </w:r>
    </w:p>
    <w:bookmarkStart w:id="9" w:name="definição-do-problema-e-escopo"/>
    <w:p>
      <w:pPr>
        <w:pStyle w:val="Heading2"/>
      </w:pPr>
      <w:r>
        <w:t xml:space="preserve">3.1 Definição do problema e escopo</w:t>
      </w:r>
    </w:p>
    <w:p>
      <w:pPr>
        <w:pStyle w:val="FirstParagraph"/>
      </w:pPr>
      <w:r>
        <w:t xml:space="preserve">O problema consiste em determinar, sob a ótica de um agente privado tomador de preço (</w:t>
      </w:r>
      <w:r>
        <w:rPr>
          <w:i/>
          <w:iCs/>
        </w:rPr>
        <w:t xml:space="preserve">price-taker</w:t>
      </w:r>
      <w:r>
        <w:t xml:space="preserve">), a potência a ser contratada no LRCAP e a operação horária ótima do sistema híbrido ao longo de um horizonte anual, de modo a maximizar o lucro operacional do empreendimento. As duas decisões são interdependentes: a potência comprometida com o leilão reduz a capacidade de armazenamento disponível para a operação mercantil, que por sua vez determina quanto da energia fotovoltaica pode ser deslocada no tempo para abastecer o eletrolisador ou para ser comercializada nas horas de maior preço.</w:t>
      </w:r>
    </w:p>
    <w:p>
      <w:pPr>
        <w:pStyle w:val="BodyText"/>
      </w:pPr>
      <w:r>
        <w:t xml:space="preserve">O estudo adota as seguintes delimitações de escopo:</w:t>
      </w:r>
    </w:p>
    <w:p>
      <w:pPr>
        <w:numPr>
          <w:ilvl w:val="0"/>
          <w:numId w:val="1001"/>
        </w:numPr>
      </w:pPr>
      <w:r>
        <w:t xml:space="preserve">as capacidades instaladas da usina FV, do BESS e do eletrolisador são dados de entrada, e não variáveis de decisão — o dimensionamento ótimo dos equipamentos está fora do escopo desta etapa, e o efeito do tamanho do eletrolisador e do tanque de hidrogênio é avaliado por análise de sensibilidade (Seção 3.8.3);</w:t>
      </w:r>
    </w:p>
    <w:p>
      <w:pPr>
        <w:numPr>
          <w:ilvl w:val="0"/>
          <w:numId w:val="1001"/>
        </w:numPr>
      </w:pPr>
      <w:r>
        <w:t xml:space="preserve">o horizonte de análise é de um ano, com resolução horária, representativo da operação ao longo do contrato de 15 anos previsto para o LRCAP;</w:t>
      </w:r>
    </w:p>
    <w:p>
      <w:pPr>
        <w:numPr>
          <w:ilvl w:val="0"/>
          <w:numId w:val="1001"/>
        </w:numPr>
      </w:pPr>
      <w:r>
        <w:t xml:space="preserve">na formulação básica, a abordagem é determinística, com conhecimento perfeito das séries de preço, de geração e de despacho do Operador Nacional do Sistema Elétrico (ONS); a incerteza entre anos é tratada pela extensão estocástica da Seção 3.7;</w:t>
      </w:r>
    </w:p>
    <w:p>
      <w:pPr>
        <w:numPr>
          <w:ilvl w:val="0"/>
          <w:numId w:val="1001"/>
        </w:numPr>
      </w:pPr>
      <w:r>
        <w:t xml:space="preserve">a função objetivo considera receitas e custos operacionais; os custos de investimento não entram na otimização, uma vez que as capacidades são fixas, e são considerados a posteriori na análise de viabilidade econômica e do lance mínimo (Seção 3.8.4).</w:t>
      </w:r>
    </w:p>
    <w:bookmarkEnd w:id="9"/>
    <w:bookmarkStart w:id="10" w:name="enquadramento-regulatório"/>
    <w:p>
      <w:pPr>
        <w:pStyle w:val="Heading2"/>
      </w:pPr>
      <w:r>
        <w:t xml:space="preserve">3.2 Enquadramento regulatório</w:t>
      </w:r>
    </w:p>
    <w:p>
      <w:pPr>
        <w:pStyle w:val="FirstParagraph"/>
      </w:pPr>
      <w:r>
        <w:t xml:space="preserve">As regras aplicáveis ao armazenamento no LRCAP foram estabelecidas pela Portaria Normativa MME nº 136, de 1º de junho de 2026, que define as diretrizes e a sistemática dos leilões de 2026 destinados à contratação de potência a partir de novos sistemas de armazenamento em baterias (BRASIL, 2026). Três aspectos dessa norma condicionam diretamente a formulação.</w:t>
      </w:r>
    </w:p>
    <w:p>
      <w:pPr>
        <w:pStyle w:val="BodyText"/>
      </w:pPr>
      <w:r>
        <w:t xml:space="preserve">O primeiro diz respeito à remuneração. A receita fixa contratada deve ser suficiente para</w:t>
      </w:r>
      <w:r>
        <w:t xml:space="preserve"> </w:t>
      </w:r>
      <w:r>
        <w:t xml:space="preserve">“remunerar integralmente todo e qualquer uso que o ONS fizer dos empreendimentos vencedores […] sem geração de receitas adicionais fora do CRCAP”</w:t>
      </w:r>
      <w:r>
        <w:t xml:space="preserve"> </w:t>
      </w:r>
      <w:r>
        <w:t xml:space="preserve">(BRASIL, 2026, art. 9º, § 5º, IV). Além disso, a energia utilizada na recarga e a energia injetada pelo sistema de armazenamento são liquidadas no MCP ao Preço de Liquidação das Diferenças (PLD), mas os resultados dessa liquidação são destinados à Conta de Potência para Reserva de Capacidade (CONCAP), e não ao empreendedor (art. 9º, § 6º). Consequentemente, a parcela contratada no leilão não pode realizar arbitragem de preços em benefício do seu titular.</w:t>
      </w:r>
    </w:p>
    <w:p>
      <w:pPr>
        <w:pStyle w:val="BodyText"/>
      </w:pPr>
      <w:r>
        <w:t xml:space="preserve">O segundo aspecto refere-se ao controle operativo. O empreendimento contratado deve atender à totalidade dos despachos de recarga e de descarga estabelecidos pelo ONS na programação diária e na operação em tempo real (art. 4º, § 2º), e a totalidade da potência contratada deve ser disponibilizada para esse despacho (art. 4º, § 8º). O risco associado à incerteza do despacho é alocado ao empreendedor (art. 5º, § 2º).</w:t>
      </w:r>
    </w:p>
    <w:p>
      <w:pPr>
        <w:pStyle w:val="BodyText"/>
      </w:pPr>
      <w:r>
        <w:t xml:space="preserve">O terceiro aspecto é a possibilidade de compartilhamento da conexão. A norma admite que os sistemas de armazenamento sejam instalados no mesmo ponto de conexão de outros agentes, compartilhando as instalações de interesse restrito (art. 4º, § 1º, II).</w:t>
      </w:r>
    </w:p>
    <w:p>
      <w:pPr>
        <w:pStyle w:val="BodyText"/>
      </w:pPr>
      <w:r>
        <w:t xml:space="preserve">Diante disso, a</w:t>
      </w:r>
      <w:r>
        <w:t xml:space="preserve"> </w:t>
      </w:r>
      <w:r>
        <w:t xml:space="preserve">“arbitragem”</w:t>
      </w:r>
      <w:r>
        <w:t xml:space="preserve"> </w:t>
      </w:r>
      <w:r>
        <w:t xml:space="preserve">entre o LRCAP e o MCP é modelada neste trabalho como uma</w:t>
      </w:r>
      <w:r>
        <w:t xml:space="preserve"> </w:t>
      </w:r>
      <w:r>
        <w:rPr>
          <w:b/>
          <w:bCs/>
        </w:rPr>
        <w:t xml:space="preserve">decisão de alocação da capacidade de armazenamento instalada</w:t>
      </w:r>
      <w:r>
        <w:t xml:space="preserve"> </w:t>
      </w:r>
      <w:r>
        <w:t xml:space="preserve">entre dois módulos com medição individualizada: um</w:t>
      </w:r>
      <w:r>
        <w:t xml:space="preserve"> </w:t>
      </w:r>
      <w:r>
        <w:rPr>
          <w:b/>
          <w:bCs/>
        </w:rPr>
        <w:t xml:space="preserve">módulo LRCAP</w:t>
      </w:r>
      <w:r>
        <w:t xml:space="preserve">, cuja potência é contratada no leilão, operado exclusivamente segundo o despacho do ONS e remunerado apenas pela receita fixa; e um</w:t>
      </w:r>
      <w:r>
        <w:t xml:space="preserve"> </w:t>
      </w:r>
      <w:r>
        <w:rPr>
          <w:b/>
          <w:bCs/>
        </w:rPr>
        <w:t xml:space="preserve">módulo mercantil</w:t>
      </w:r>
      <w:r>
        <w:t xml:space="preserve">, que recebe a capacidade remanescente e é operado pelo empreendedor em conjunto com a usina FV e o eletrolisador. Ambos compartilham o ponto de conexão com o Sistema Interligado Nacional (SIN).</w:t>
      </w:r>
    </w:p>
    <w:p>
      <w:pPr>
        <w:pStyle w:val="BodyText"/>
      </w:pPr>
      <w:r>
        <w:t xml:space="preserve">A Portaria estabelece, ainda, requisitos técnicos que são incorporados ao modelo como restrições ou como condições de validação dos parâmetros, sintetizados no Quadro 3.1.</w:t>
      </w:r>
    </w:p>
    <w:p>
      <w:pPr>
        <w:pStyle w:val="Legenda"/>
      </w:pPr>
      <w:r>
        <w:t xml:space="preserve">Quadro 3.1 – Requisitos da Portaria Normativa MME nº 136/2026 incorporados ao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4"/>
        <w:gridCol w:w="1454"/>
        <w:gridCol w:w="4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t xml:space="preserve">Tratamento no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mínima de 30 MW</w:t>
            </w:r>
          </w:p>
        </w:tc>
        <w:tc>
          <w:tcPr/>
          <w:p>
            <w:pPr>
              <w:pStyle w:val="Compact"/>
            </w:pPr>
            <w:r>
              <w:t xml:space="preserve">art. 7º, III</w:t>
            </w:r>
          </w:p>
        </w:tc>
        <w:tc>
          <w:tcPr/>
          <w:p>
            <w:pPr>
              <w:pStyle w:val="Compact"/>
            </w:pPr>
            <w:r>
              <w:t xml:space="preserve">Restrição disjuntiva na potência contratada (Eq. (3.3))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Compromisso de 4 h por ciclo completo</w:t>
            </w:r>
          </w:p>
        </w:tc>
        <w:tc>
          <w:tcPr/>
          <w:p>
            <w:pPr>
              <w:pStyle w:val="Compact"/>
            </w:pPr>
            <w:r>
              <w:t xml:space="preserve">art. 4º, § 3º; art. 7º, IV</w:t>
            </w:r>
          </w:p>
        </w:tc>
        <w:tc>
          <w:tcPr/>
          <w:p>
            <w:pPr>
              <w:pStyle w:val="Compact"/>
            </w:pPr>
            <w:r>
              <w:t xml:space="preserve">Dimensionamento energético do módulo LRCAP (Eq. (3.6))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Até 2 ciclos completos diários e 366 anuais</w:t>
            </w:r>
          </w:p>
        </w:tc>
        <w:tc>
          <w:tcPr/>
          <w:p>
            <w:pPr>
              <w:pStyle w:val="Compact"/>
            </w:pPr>
            <w:r>
              <w:t xml:space="preserve">art. 4º, § 3º</w:t>
            </w:r>
          </w:p>
        </w:tc>
        <w:tc>
          <w:tcPr/>
          <w:p>
            <w:pPr>
              <w:pStyle w:val="Compact"/>
            </w:pPr>
            <w:r>
              <w:t xml:space="preserve">Validação do perfil de despacho do 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Eficiência total (RTE) mínima de 85%</w:t>
            </w:r>
          </w:p>
        </w:tc>
        <w:tc>
          <w:tcPr/>
          <w:p>
            <w:pPr>
              <w:pStyle w:val="Compact"/>
            </w:pPr>
            <w:r>
              <w:t xml:space="preserve">art. 7º, VI</w:t>
            </w:r>
          </w:p>
        </w:tc>
        <w:tc>
          <w:tcPr/>
          <w:p>
            <w:pPr>
              <w:pStyle w:val="Compact"/>
            </w:pPr>
            <w:r>
              <w:t xml:space="preserve">Validação dos parâmetros de eficiência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Recarga completa em até 6 h</w:t>
            </w:r>
          </w:p>
        </w:tc>
        <w:tc>
          <w:tcPr/>
          <w:p>
            <w:pPr>
              <w:pStyle w:val="Compact"/>
            </w:pPr>
            <w:r>
              <w:t xml:space="preserve">art. 4º, § 10; art. 7º, VII</w:t>
            </w:r>
          </w:p>
        </w:tc>
        <w:tc>
          <w:tcPr/>
          <w:p>
            <w:pPr>
              <w:pStyle w:val="Compact"/>
            </w:pPr>
            <w:r>
              <w:t xml:space="preserve">Validação dos parâmetros de eficiência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Recarga excedente custeada pelo empreendedor</w:t>
            </w:r>
          </w:p>
        </w:tc>
        <w:tc>
          <w:tcPr/>
          <w:p>
            <w:pPr>
              <w:pStyle w:val="Compact"/>
            </w:pPr>
            <w:r>
              <w:t xml:space="preserve">art. 9º, §§ 7º e 8º</w:t>
            </w:r>
          </w:p>
        </w:tc>
        <w:tc>
          <w:tcPr/>
          <w:p>
            <w:pPr>
              <w:pStyle w:val="Compact"/>
            </w:pPr>
            <w:r>
              <w:t xml:space="preserve">Termo de custo na função objetivo (Eq. (3.2))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do sistema para descarga e recarga totais</w:t>
            </w:r>
          </w:p>
        </w:tc>
        <w:tc>
          <w:tcPr/>
          <w:p>
            <w:pPr>
              <w:pStyle w:val="Compact"/>
            </w:pPr>
            <w:r>
              <w:t xml:space="preserve">art. 9º, § 13</w:t>
            </w:r>
          </w:p>
        </w:tc>
        <w:tc>
          <w:tcPr/>
          <w:p>
            <w:pPr>
              <w:pStyle w:val="Compact"/>
            </w:pPr>
            <w:r>
              <w:t xml:space="preserve">Limite no fluxo líquido do ponto de conexão</w:t>
            </w:r>
          </w:p>
        </w:tc>
      </w:tr>
    </w:tbl>
    <w:p>
      <w:pPr>
        <w:pStyle w:val="Fonte"/>
      </w:pPr>
      <w:r>
        <w:t xml:space="preserve">Fonte: elaborado pelo autor com base em Brasil (2026).</w:t>
      </w:r>
    </w:p>
    <w:bookmarkEnd w:id="10"/>
    <w:bookmarkStart w:id="14" w:name="descrição-do-sistema"/>
    <w:p>
      <w:pPr>
        <w:pStyle w:val="Heading2"/>
      </w:pPr>
      <w:r>
        <w:t xml:space="preserve">3.3 Descrição do sistema</w:t>
      </w:r>
    </w:p>
    <w:p>
      <w:pPr>
        <w:pStyle w:val="FirstParagraph"/>
      </w:pPr>
      <w:r>
        <w:t xml:space="preserve">A Figura 3.1 apresenta a topologia do sistema modelado. No lado mercantil, a usina FV, o módulo mercantil do BESS e o eletrolisador estão conectados a um barramento comum, no qual se impõe o balanço de potência. O hidrogênio produzido é armazenado em um tanque e comercializado a preço fixo, seja sem limite de volume, seja por meio de um contrato de fornecimento com entrega diária (Seção 3.4.5). A energia excedente pode ser exportada ao SIN e liquidada ao PLD. O módulo LRCAP, embora fisicamente instalado no mesmo sítio, possui ponto de medição próprio e segue um perfil de descarga e recarga determinado pelo ONS. Os fluxos de ambos os lados convergem para o ponto de conexão compartilhado, cuja capacidade limita o fluxo líquido em cada hora.</w:t>
      </w:r>
    </w:p>
    <w:p>
      <w:pPr>
        <w:pStyle w:val="Legenda"/>
      </w:pPr>
      <w:r>
        <w:t xml:space="preserve">Figura 3.1 – Topologia do sistema híbrido FV–BESS–H₂ com divisão do BESS entre os módulos LRCAP e mercantil</w:t>
      </w:r>
    </w:p>
    <w:p>
      <w:pPr>
        <w:pStyle w:val="Figura"/>
      </w:pPr>
      <w:r>
        <w:drawing>
          <wp:inline>
            <wp:extent cx="5334000" cy="298704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../figuras/fig_topologi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Adota-se como caso de referência uma versão escalonada da planta de produção de hidrogênio da Universidade Federal de Itajubá (UNIFEI), que conta com usina FV de aproximadamente 1 MWp e eletrolisador do tipo membrana de troca de prótons (</w:t>
      </w:r>
      <w:r>
        <w:rPr>
          <w:i/>
          <w:iCs/>
        </w:rPr>
        <w:t xml:space="preserve">Proton Exchange Membrane</w:t>
      </w:r>
      <w:r>
        <w:t xml:space="preserve">, PEM) de 350 kW, sem armazenamento em baterias. Como o LRCAP exige disponibilidade mínima de 30 MW, a planta real não pode participar do leilão; por isso, preserva-se a relação entre as potências do eletrolisador e da usina FV observada na planta (0,35) e escala-se o sistema para 50 MWp de geração FV e 17,5 MW de eletrolisador. O BESS é hipotético e dimensionado para atender aos requisitos do leilão. A justificativa para o escalonamento reside na modularidade dos eletrolisadores PEM, cujas pilhas são associadas em paralelo, de forma que o consumo específico de energia por unidade de hidrogênio é pouco sensível à escala.</w:t>
      </w:r>
    </w:p>
    <w:bookmarkEnd w:id="14"/>
    <w:bookmarkStart w:id="20" w:name="formulação-matemática"/>
    <w:p>
      <w:pPr>
        <w:pStyle w:val="Heading2"/>
      </w:pPr>
      <w:r>
        <w:t xml:space="preserve">3.4 Formulação matemática</w:t>
      </w:r>
    </w:p>
    <w:p>
      <w:pPr>
        <w:pStyle w:val="FirstParagraph"/>
      </w:pPr>
      <w:r>
        <w:t xml:space="preserve">O problema é formulado como um problema de Programação Linear Inteira Mista (PLIM, ou</w:t>
      </w:r>
      <w:r>
        <w:t xml:space="preserve"> </w:t>
      </w:r>
      <w:r>
        <w:rPr>
          <w:i/>
          <w:iCs/>
        </w:rPr>
        <w:t xml:space="preserve">Mixed-Integer Linear Programming</w:t>
      </w:r>
      <w:r>
        <w:t xml:space="preserve">, MILP), em que a função objetivo e as restrições são lineares e parte das variáveis é binária.</w:t>
      </w:r>
    </w:p>
    <w:bookmarkStart w:id="15" w:name="conjuntos-e-índices"/>
    <w:p>
      <w:pPr>
        <w:pStyle w:val="Heading3"/>
      </w:pPr>
      <w:r>
        <w:t xml:space="preserve">3.4.1 Conjuntos e índices</w:t>
      </w:r>
    </w:p>
    <w:p>
      <w:pPr>
        <w:pStyle w:val="FirstParagraph"/>
      </w:pPr>
      <w:r>
        <w:t xml:space="preserve">Seja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o conjunto de intervalos de tempo de duração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(em horas) e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o conjunto de dias do horizonte, sendo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os intervalos pertencentes ao dia</w:t>
      </w:r>
      <w:r>
        <w:t xml:space="preserve"> </w:t>
      </w:r>
      <m:oMath>
        <m:r>
          <m:t>d</m:t>
        </m:r>
      </m:oMath>
      <w:r>
        <w:t xml:space="preserve">.</w:t>
      </w:r>
    </w:p>
    <w:bookmarkEnd w:id="15"/>
    <w:bookmarkStart w:id="16" w:name="parâmetros"/>
    <w:p>
      <w:pPr>
        <w:pStyle w:val="Heading3"/>
      </w:pPr>
      <w:r>
        <w:t xml:space="preserve">3.4.2 Parâmetros</w:t>
      </w:r>
    </w:p>
    <w:p>
      <w:pPr>
        <w:pStyle w:val="FirstParagraph"/>
      </w:pPr>
      <w:r>
        <w:t xml:space="preserve">Os parâmetros do modelo são apresentados na Tabela 3.1, juntamente com os valores adotados no caso de referência.</w:t>
      </w:r>
    </w:p>
    <w:p>
      <w:pPr>
        <w:pStyle w:val="Legenda"/>
      </w:pPr>
      <w:r>
        <w:t xml:space="preserve">Tabela 3.1 – Parâmetros do modelo e valores do caso de referência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3960"/>
        <w:gridCol w:w="132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t</m:t>
                  </m:r>
                </m:sub>
                <m:sup>
                  <m:r>
                    <m:t>p</m:t>
                  </m:r>
                  <m:r>
                    <m:t>v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Potência FV disponível no intervalo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t xml:space="preserve">série (Seção 3.5)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PLD horário</w:t>
            </w:r>
          </w:p>
        </w:tc>
        <w:tc>
          <w:tcPr/>
          <w:p>
            <w:pPr>
              <w:pStyle w:val="Compact"/>
            </w:pPr>
            <w:r>
              <w:t xml:space="preserve">R$/MWh</w:t>
            </w:r>
          </w:p>
        </w:tc>
        <w:tc>
          <w:tcPr/>
          <w:p>
            <w:pPr>
              <w:pStyle w:val="Compact"/>
            </w:pPr>
            <w:r>
              <w:t xml:space="preserve">série (Seção 3.5)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E</m:t>
                  </m:r>
                </m:e>
                <m:sup>
                  <m:r>
                    <m:t>t</m:t>
                  </m:r>
                  <m:r>
                    <m:t>o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Capacidade energética total instalada do BESS</w:t>
            </w:r>
          </w:p>
        </w:tc>
        <w:tc>
          <w:tcPr/>
          <w:p>
            <w:pPr>
              <w:pStyle w:val="Compact"/>
            </w:pPr>
            <w:r>
              <w:t xml:space="preserve">MWh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c</m:t>
                  </m:r>
                  <m:r>
                    <m:t>h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d</m:t>
                  </m:r>
                  <m:r>
                    <m:t>i</m:t>
                  </m:r>
                  <m:r>
                    <m:t>s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Potências máximas de carga e de descarga do BESS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η</m:t>
                  </m:r>
                </m:e>
                <m:sup>
                  <m:r>
                    <m:t>c</m:t>
                  </m:r>
                  <m:r>
                    <m:t>h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η</m:t>
                  </m:r>
                </m:e>
                <m:sup>
                  <m:r>
                    <m:t>d</m:t>
                  </m:r>
                  <m:r>
                    <m:t>i</m:t>
                  </m:r>
                  <m:r>
                    <m:t>s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Eficiências de carga e de descarga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</w:tr>
      <w:tr>
        <w:tc>
          <w:tcPr/>
          <w:p>
            <w:pPr>
              <w:pStyle w:val="Compact"/>
            </w:pPr>
            <m:oMath>
              <m:bar>
                <m:barPr>
                  <m:pos m:val="bot"/>
                </m:barPr>
                <m:e>
                  <m:r>
                    <m:t>σ</m:t>
                  </m:r>
                </m:e>
              </m:ba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Estados de carga mínimo e máximo (fração da energia do módulo)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0,10; 1,00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Estado de carga inicial do módulo mercantil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0,50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d</m:t>
                  </m:r>
                  <m:r>
                    <m:t>e</m:t>
                  </m:r>
                  <m:r>
                    <m:t>g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Custo de degradação por energia descarregada</w:t>
            </w:r>
          </w:p>
        </w:tc>
        <w:tc>
          <w:tcPr/>
          <w:p>
            <w:pPr>
              <w:pStyle w:val="Compact"/>
            </w:pPr>
            <w:r>
              <w:t xml:space="preserve">R$/MWh</w:t>
            </w:r>
          </w:p>
        </w:tc>
        <w:tc>
          <w:tcPr/>
          <w:p>
            <w:pPr>
              <w:pStyle w:val="Compact"/>
            </w:pPr>
            <w:r>
              <w:t xml:space="preserve">50 (sensibilidade: 100; 200)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e</m:t>
                  </m:r>
                  <m:r>
                    <m:t>l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Potência nominal do eletrolisador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t xml:space="preserve">17,5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α</m:t>
                  </m:r>
                </m:e>
                <m:sup>
                  <m:r>
                    <m:t>e</m:t>
                  </m:r>
                  <m:r>
                    <m:t>l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Carga mínima do eletrolisador (fração de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e</m:t>
                  </m:r>
                  <m:r>
                    <m:t>l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k</m:t>
                  </m:r>
                </m:e>
                <m:sup>
                  <m:r>
                    <m:t>e</m:t>
                  </m:r>
                  <m:r>
                    <m:t>l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Consumo específico de energia</w:t>
            </w:r>
          </w:p>
        </w:tc>
        <w:tc>
          <w:tcPr/>
          <w:p>
            <w:pPr>
              <w:pStyle w:val="Compact"/>
            </w:pPr>
            <w:r>
              <w:t xml:space="preserve">kWh/kg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Custo variável de produção de H₂</w:t>
            </w:r>
          </w:p>
        </w:tc>
        <w:tc>
          <w:tcPr/>
          <w:p>
            <w:pPr>
              <w:pStyle w:val="Compact"/>
            </w:pPr>
            <w:r>
              <w:t xml:space="preserve">R$/kg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π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Preço de venda do H₂</w:t>
            </w:r>
          </w:p>
        </w:tc>
        <w:tc>
          <w:tcPr/>
          <w:p>
            <w:pPr>
              <w:pStyle w:val="Compact"/>
            </w:pPr>
            <w:r>
              <w:t xml:space="preserve">R$/kg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Capacidade e estoque inicial do tanque de H₂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2.000; 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Entrega mínima diária de H₂ (contrato)</w:t>
            </w:r>
          </w:p>
        </w:tc>
        <w:tc>
          <w:tcPr/>
          <w:p>
            <w:pPr>
              <w:pStyle w:val="Compact"/>
            </w:pPr>
            <w:r>
              <w:t xml:space="preserve">kg/dia</w:t>
            </w:r>
          </w:p>
        </w:tc>
        <w:tc>
          <w:tcPr/>
          <w:p>
            <w:pPr>
              <w:pStyle w:val="Compact"/>
            </w:pPr>
            <w:r>
              <w:t xml:space="preserve">0 (sem contrato); 2.000 ou 3.000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h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Entrega máxima diária de H₂ (demanda do comprador)</w:t>
            </w:r>
          </w:p>
        </w:tc>
        <w:tc>
          <w:tcPr/>
          <w:p>
            <w:pPr>
              <w:pStyle w:val="Compact"/>
            </w:pPr>
            <w:r>
              <w:t xml:space="preserve">kg/dia</w:t>
            </w:r>
          </w:p>
        </w:tc>
        <w:tc>
          <w:tcPr/>
          <w:p>
            <w:pPr>
              <w:pStyle w:val="Compact"/>
            </w:pPr>
            <w:r>
              <w:t xml:space="preserve">ilimitada (sem contrato); igual a</w:t>
            </w:r>
            <w: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π</m:t>
                  </m:r>
                </m:e>
                <m:sup>
                  <m:r>
                    <m:t>d</m:t>
                  </m:r>
                  <m:r>
                    <m:t>e</m:t>
                  </m:r>
                  <m:r>
                    <m:t>f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Multa por kg de H₂ não entregue</w:t>
            </w:r>
          </w:p>
        </w:tc>
        <w:tc>
          <w:tcPr/>
          <w:p>
            <w:pPr>
              <w:pStyle w:val="Compact"/>
            </w:pPr>
            <w:r>
              <w:t xml:space="preserve">R$/kg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i</m:t>
                  </m:r>
                  <m:r>
                    <m:t>m</m:t>
                  </m:r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Limites de exportação e importação no ponto de conexão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i</m:t>
                  </m:r>
                  <m:r>
                    <m:t>m</m:t>
                  </m:r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Custo adicional sobre a energia importada</w:t>
            </w:r>
          </w:p>
        </w:tc>
        <w:tc>
          <w:tcPr/>
          <w:p>
            <w:pPr>
              <w:pStyle w:val="Compact"/>
            </w:pPr>
            <w:r>
              <w:t xml:space="preserve">R$/MWh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Receita fixa do LRCAP</w:t>
            </w:r>
          </w:p>
        </w:tc>
        <w:tc>
          <w:tcPr/>
          <w:p>
            <w:pPr>
              <w:pStyle w:val="Compact"/>
            </w:pPr>
            <w:r>
              <w:t xml:space="preserve">R$/(MW·ano)</w:t>
            </w:r>
          </w:p>
        </w:tc>
        <w:tc>
          <w:tcPr/>
          <w:p>
            <w:pPr>
              <w:pStyle w:val="Compact"/>
            </w:pPr>
            <w:r>
              <w:t xml:space="preserve">600.000 (sensibilidade: 330.000 a 2.334.000)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bar>
                    <m:barPr>
                      <m:pos m:val="bot"/>
                    </m:barPr>
                    <m:e>
                      <m:r>
                        <m:t>P</m:t>
                      </m:r>
                    </m:e>
                  </m:ba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Disponibilidade mínima para participação no LRCAP</w:t>
            </w:r>
          </w:p>
        </w:tc>
        <w:tc>
          <w:tcPr/>
          <w:p>
            <w:pPr>
              <w:pStyle w:val="Compact"/>
            </w:pPr>
            <w:r>
              <w:t xml:space="preserve">MW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H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Duração do ciclo completo exigida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</w:pPr>
            <w:r>
              <w:t xml:space="preserve">Energia instalada no módulo LRCAP por MW contratado</w:t>
            </w:r>
          </w:p>
        </w:tc>
        <w:tc>
          <w:tcPr/>
          <w:p>
            <w:pPr>
              <w:pStyle w:val="Compact"/>
            </w:pPr>
            <w:r>
              <w:t xml:space="preserve">MWh/MW</w:t>
            </w:r>
          </w:p>
        </w:tc>
        <w:tc>
          <w:tcPr/>
          <w:p>
            <w:pPr>
              <w:pStyle w:val="Compact"/>
            </w:pPr>
            <w:r>
              <w:t xml:space="preserve">4,8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r</m:t>
                  </m:r>
                  <m:r>
                    <m:t>e</m:t>
                  </m:r>
                  <m:r>
                    <m:t>f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Eficiência de referência para custeio da recarga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0,85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Despacho do ONS: descarga e recarga do módulo LRCAP (p.u. de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perfil (Seção 3.5)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r>
                    <m:t>o</m:t>
                  </m:r>
                  <m:r>
                    <m:t>n</m:t>
                  </m:r>
                  <m:r>
                    <m:t>s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Número de despachos do ONS por ano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365 (sensibilidade: 50; 150)</w:t>
            </w:r>
          </w:p>
        </w:tc>
      </w:tr>
    </w:tbl>
    <w:p>
      <w:pPr>
        <w:pStyle w:val="Fonte"/>
      </w:pPr>
      <w:r>
        <w:t xml:space="preserve">Fonte: elaborado pelo autor.</w:t>
      </w:r>
    </w:p>
    <w:bookmarkEnd w:id="16"/>
    <w:bookmarkStart w:id="17" w:name="variáveis-de-decisão"/>
    <w:p>
      <w:pPr>
        <w:pStyle w:val="Heading3"/>
      </w:pPr>
      <w:r>
        <w:t xml:space="preserve">3.4.3 Variáveis de decisão</w:t>
      </w:r>
    </w:p>
    <w:p>
      <w:pPr>
        <w:pStyle w:val="FirstParagraph"/>
      </w:pPr>
      <w:r>
        <w:t xml:space="preserve">As variáveis de decisão são apresentadas na Tabela 3.2. Destaca-se que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é a única variável que não é indexada no tempo: ela representa a decisão de contratação, válida para todo o horizonte, enquanto as demais descrevem a operação horária.</w:t>
      </w:r>
    </w:p>
    <w:p>
      <w:pPr>
        <w:pStyle w:val="Legenda"/>
      </w:pPr>
      <w:r>
        <w:t xml:space="preserve">Tabela 3.2 – Variáveis de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4364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P</m:t>
                  </m:r>
                </m:e>
                <m:sup>
                  <m:r>
                    <m:t>c</m:t>
                  </m:r>
                  <m:r>
                    <m:t>a</m:t>
                  </m:r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Potência contratada no LRCAP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</m:oMath>
            <w:r>
              <w:t xml:space="preserve">, MW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Indicador de participação no LRCAP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p</m:t>
                  </m:r>
                  <m:r>
                    <m:t>v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Potência FV aproveitada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t</m:t>
                  </m:r>
                </m:sub>
                <m:sup>
                  <m:r>
                    <m:t>p</m:t>
                  </m:r>
                  <m:r>
                    <m:t>v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t xml:space="preserve">, MW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c</m:t>
                  </m:r>
                  <m:r>
                    <m:t>h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d</m:t>
                  </m:r>
                  <m:r>
                    <m:t>i</m:t>
                  </m:r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Potências de carga e descarga do módulo mercantil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</m:oMath>
            <w:r>
              <w:t xml:space="preserve">, MW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Energia armazenada no módulo mercantil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</m:oMath>
            <w:r>
              <w:t xml:space="preserve">, MWh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e</m:t>
                  </m:r>
                  <m:r>
                    <m:t>l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Potência consumida pelo eletrolisador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e</m:t>
                  </m:r>
                  <m:r>
                    <m:t>l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MW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Produção e venda de H₂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</m:oMath>
            <w:r>
              <w:t xml:space="preserve">, kg/h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Estoque de H₂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]</m:t>
              </m:r>
            </m:oMath>
            <w:r>
              <w:t xml:space="preserve">, kg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q</m:t>
                  </m:r>
                </m:e>
                <m:sub>
                  <m:r>
                    <m:t>d</m:t>
                  </m:r>
                </m:sub>
                <m:sup>
                  <m:r>
                    <m:t>d</m:t>
                  </m:r>
                  <m:r>
                    <m:t>e</m:t>
                  </m:r>
                  <m:r>
                    <m:t>f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Déficit de entrega de H₂ no dia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</m:oMath>
            <w:r>
              <w:t xml:space="preserve">, kg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i</m:t>
                  </m:r>
                  <m:r>
                    <m:t>m</m:t>
                  </m:r>
                  <m:r>
                    <m:t>p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Exportação e importação do lado mercantil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sub>
              </m:sSub>
            </m:oMath>
            <w:r>
              <w:t xml:space="preserve">, MW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t</m:t>
                  </m:r>
                </m:sub>
                <m:sup>
                  <m:r>
                    <m:t>b</m:t>
                  </m:r>
                  <m:r>
                    <m:t>a</m:t>
                  </m:r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Estado do módulo mercantil (1 = carregando)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y</m:t>
                  </m:r>
                </m:e>
                <m:sub>
                  <m:r>
                    <m:t>t</m:t>
                  </m:r>
                </m:sub>
                <m:sup>
                  <m:r>
                    <m:t>r</m:t>
                  </m:r>
                  <m:r>
                    <m:t>e</m:t>
                  </m:r>
                  <m:r>
                    <m:t>d</m:t>
                  </m:r>
                  <m:r>
                    <m:t>e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Sentido do intercâmbio (1 = exportando)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Estado do eletrolisador (1 = ligado)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</w:tr>
    </w:tbl>
    <w:p>
      <w:pPr>
        <w:pStyle w:val="Fonte"/>
      </w:pPr>
      <w:r>
        <w:t xml:space="preserve">Fonte: elaborado pelo autor.</w:t>
      </w:r>
    </w:p>
    <w:bookmarkEnd w:id="17"/>
    <w:bookmarkStart w:id="18" w:name="função-objetivo"/>
    <w:p>
      <w:pPr>
        <w:pStyle w:val="Heading3"/>
      </w:pPr>
      <w:r>
        <w:t xml:space="preserve">3.4.4 Função objetivo</w:t>
      </w:r>
    </w:p>
    <w:p>
      <w:pPr>
        <w:pStyle w:val="FirstParagraph"/>
      </w:pPr>
      <w:r>
        <w:t xml:space="preserve">O objetivo é maximizar o lucro operacional do empreendedor no horizonte, expresso pela Equação (3.1):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max</m:t>
                </m:r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nary>
                <m:r>
                  <m:t> 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x</m:t>
                    </m:r>
                    <m:r>
                      <m:t>p</m:t>
                    </m:r>
                  </m:sup>
                </m:sSubSup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t>m</m:t>
                            </m:r>
                            <m:r>
                              <m:t>p</m:t>
                            </m:r>
                          </m:sup>
                        </m:sSup>
                      </m:e>
                    </m:d>
                  </m:e>
                </m:nary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i</m:t>
                    </m:r>
                    <m:r>
                      <m:t>m</m:t>
                    </m:r>
                    <m:r>
                      <m:t>p</m:t>
                    </m:r>
                  </m:sup>
                </m:sSubSup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h</m:t>
                            </m:r>
                            <m:r>
                              <m:t>2</m:t>
                            </m:r>
                          </m:sup>
                        </m:sSup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h</m:t>
                            </m:r>
                            <m:r>
                              <m:t>2</m:t>
                            </m:r>
                          </m:sup>
                        </m:sSup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d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D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d</m:t>
                        </m:r>
                        <m:r>
                          <m:t>e</m:t>
                        </m:r>
                        <m:r>
                          <m:t>f</m:t>
                        </m:r>
                      </m:sup>
                    </m:sSup>
                  </m:e>
                </m:nary>
                <m:sSubSup>
                  <m:e>
                    <m:r>
                      <m:t>q</m:t>
                    </m:r>
                  </m:e>
                  <m:sub>
                    <m:r>
                      <m:t>d</m:t>
                    </m:r>
                  </m:sub>
                  <m:sup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 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</m:num>
                  <m:den>
                    <m:r>
                      <m:t>8760</m:t>
                    </m:r>
                  </m:den>
                </m:f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κ</m:t>
                </m:r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d</m:t>
                        </m:r>
                        <m:r>
                          <m:t>e</m:t>
                        </m:r>
                        <m:r>
                          <m:t>g</m:t>
                        </m:r>
                      </m:sup>
                    </m:sSup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t>d</m:t>
                        </m:r>
                        <m:r>
                          <m:t>i</m:t>
                        </m:r>
                        <m:r>
                          <m:t>s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Δ</m:t>
                </m:r>
                <m: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(3.1)</w:t>
            </w:r>
          </w:p>
        </w:tc>
      </w:tr>
    </w:tbl>
    <w:p>
      <w:pPr>
        <w:pStyle w:val="FirstParagraph"/>
      </w:pPr>
      <w:r>
        <w:t xml:space="preserve">Os termos correspondem, respectivamente, à receita da energia exportada ao MCP, ao custo da energia importada, à margem da comercialização do hidrogênio, à multa por déficit de entrega de hidrogênio, à receita fixa do LRCAP rateada no horizonte, ao custo da recarga excedente do módulo LRCAP e ao custo de degradação do BESS, aplicado à energia descarregada por ambos os módulos. Ressalta-se que a energia injetada pelo módulo LRCAP não compõe a receita do MCP do empreendedor, em conformidade com o art. 9º, § 6º, da Portaria.</w:t>
      </w:r>
    </w:p>
    <w:p>
      <w:pPr>
        <w:pStyle w:val="BodyText"/>
      </w:pPr>
      <w:r>
        <w:t xml:space="preserve">O coeficiente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representa o custo, por MW contratado, da energia de recarga que excede o quociente entre a energia injetada e a eficiência de referência, a qual deve ser custeada pelo empreendedor (BRASIL, 2026, art. 9º, §§ 7º e 8º). Como o perfil de despacho é exógeno e proporcional a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é calculado previamente pela Equação (3.2):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κ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max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δ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nary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</m:num>
                      <m:den>
                        <m:sSup>
                          <m:e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r</m:t>
                            </m:r>
                            <m:r>
                              <m:t>e</m:t>
                            </m:r>
                            <m:r>
                              <m:t>f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nary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</m:den>
                    </m:f>
                  </m:e>
                </m:d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r</m:t>
                    </m:r>
                  </m:e>
                  <m:sub>
                    <m:r>
                      <m:t>t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(3.2)</w:t>
            </w:r>
          </w:p>
        </w:tc>
      </w:tr>
    </w:tbl>
    <w:p>
      <w:pPr>
        <w:pStyle w:val="FirstParagraph"/>
      </w:pPr>
      <w:r>
        <w:t xml:space="preserve">Quando a eficiência real do BESS (</w:t>
      </w:r>
      <m:oMath>
        <m:sSup>
          <m:e>
            <m:r>
              <m:t>η</m:t>
            </m:r>
          </m:e>
          <m:sup>
            <m:r>
              <m:t>c</m:t>
            </m:r>
            <m:r>
              <m:t>h</m:t>
            </m:r>
          </m:sup>
        </m:sSup>
        <m:sSup>
          <m:e>
            <m:r>
              <m:t>η</m:t>
            </m:r>
          </m:e>
          <m:sup>
            <m:r>
              <m:t>d</m:t>
            </m:r>
            <m:r>
              <m:t>i</m:t>
            </m:r>
            <m:r>
              <m:t>s</m:t>
            </m:r>
          </m:sup>
        </m:sSup>
      </m:oMath>
      <w:r>
        <w:t xml:space="preserve">) supera</w:t>
      </w:r>
      <w:r>
        <w:t xml:space="preserve"> </w:t>
      </w:r>
      <m:oMath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p>
            <m:r>
              <m:t>r</m:t>
            </m:r>
            <m:r>
              <m:t>e</m:t>
            </m:r>
            <m:r>
              <m:t>f</m:t>
            </m:r>
          </m:sup>
        </m:sSup>
      </m:oMath>
      <w:r>
        <w:t xml:space="preserve">, a recarga determinada pelo ONS não excede o limite custeado pela CONCAP e, portanto,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"/>
    <w:bookmarkStart w:id="19" w:name="restrições"/>
    <w:p>
      <w:pPr>
        <w:pStyle w:val="Heading3"/>
      </w:pPr>
      <w:r>
        <w:t xml:space="preserve">3.4.5 Restrições</w:t>
      </w:r>
    </w:p>
    <w:p>
      <w:pPr>
        <w:pStyle w:val="FirstParagraph"/>
      </w:pPr>
      <w:r>
        <w:rPr>
          <w:b/>
          <w:bCs/>
        </w:rPr>
        <w:t xml:space="preserve">Contratação no LRCAP.</w:t>
      </w:r>
      <w:r>
        <w:t xml:space="preserve"> </w:t>
      </w:r>
      <w:r>
        <w:t xml:space="preserve">A potência contratada deve ser nula ou estar entre o mínimo regulatório e o máximo viável, o que é representado pela restrição disjuntiva da Equação (3.3), em que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indica a participação no leilão: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bar>
                      <m:barPr>
                        <m:pos m:val="bot"/>
                      </m:barPr>
                      <m:e>
                        <m:r>
                          <m:t>P</m:t>
                        </m:r>
                      </m:e>
                    </m:ba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 </m:t>
                </m:r>
                <m:r>
                  <m:t>w</m:t>
                </m:r>
                <m:r>
                  <m:t> </m:t>
                </m:r>
                <m:r>
                  <m:rPr>
                    <m:sty m:val="p"/>
                  </m:rPr>
                  <m:t>≤</m:t>
                </m:r>
                <m:r>
                  <m:t> 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 </m:t>
                </m:r>
                <m:r>
                  <m:rPr>
                    <m:sty m:val="p"/>
                  </m:rPr>
                  <m:t>≤</m:t>
                </m:r>
                <m:r>
                  <m:t> 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 </m:t>
                </m:r>
                <m:r>
                  <m:t>w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(3.3)</w:t>
            </w:r>
          </w:p>
        </w:tc>
      </w:tr>
    </w:tbl>
    <w:p>
      <w:pPr>
        <w:pStyle w:val="FirstParagraph"/>
      </w:pPr>
      <w:r>
        <w:t xml:space="preserve">O limite superior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é o menor valor entre as potências de carga e descarga do BESS, a razão</w:t>
      </w:r>
      <w:r>
        <w:t xml:space="preserve"> </w:t>
      </w:r>
      <m:oMath>
        <m:sSup>
          <m:e>
            <m:r>
              <m:t>E</m:t>
            </m:r>
          </m:e>
          <m:sup>
            <m:r>
              <m:t>t</m:t>
            </m:r>
            <m:r>
              <m:t>o</m:t>
            </m:r>
            <m:r>
              <m:t>t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e os limites do ponto de conexão.</w:t>
      </w:r>
    </w:p>
    <w:p>
      <w:pPr>
        <w:pStyle w:val="BodyText"/>
      </w:pPr>
      <w:r>
        <w:rPr>
          <w:b/>
          <w:bCs/>
        </w:rPr>
        <w:t xml:space="preserve">Módulo LRCAP.</w:t>
      </w:r>
      <w:r>
        <w:t xml:space="preserve"> </w:t>
      </w:r>
      <w:r>
        <w:t xml:space="preserve">As potências de descarga e de recarga do módulo LRCAP seguem o perfil de despacho do ONS, expresso em valores por unidade da potência contratada, conforme a Equação (3.4):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t>r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δ</m:t>
                    </m:r>
                  </m:e>
                  <m:sub>
                    <m:r>
                      <m:t>t</m:t>
                    </m:r>
                  </m:sub>
                </m:sSub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c</m:t>
                    </m:r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t>r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t</m:t>
                    </m:r>
                  </m:sub>
                </m:sSub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(3.4)</w:t>
            </w:r>
          </w:p>
        </w:tc>
      </w:tr>
    </w:tbl>
    <w:p>
      <w:pPr>
        <w:pStyle w:val="FirstParagraph"/>
      </w:pPr>
      <w:r>
        <w:t xml:space="preserve">Como o perfil é exógeno, o estado de carga do módulo LRCAP é proporcional a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e pode ser verificado previamente à otimização. Define-se o estado de carga por MW contratado,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 pela recursão da Equação (3.5), com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σ</m:t>
            </m:r>
          </m:e>
        </m:acc>
        <m:r>
          <m:t>ρ</m:t>
        </m:r>
      </m:oMath>
      <w:r>
        <w:t xml:space="preserve"> </w:t>
      </w:r>
      <w:r>
        <w:t xml:space="preserve">(módulo inicialmente carregado):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η</m:t>
                        </m:r>
                      </m:e>
                      <m:sup>
                        <m:r>
                          <m:t>c</m:t>
                        </m:r>
                        <m:r>
                          <m:t>h</m:t>
                        </m:r>
                      </m:sup>
                    </m:sSup>
                    <m:sSub>
                      <m:e>
                        <m:r>
                          <m:t>r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m:t>η</m:t>
                            </m:r>
                          </m:e>
                          <m:sup>
                            <m:r>
                              <m:t>d</m:t>
                            </m:r>
                            <m:r>
                              <m:t>i</m:t>
                            </m:r>
                            <m:r>
                              <m:t>s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ar>
                  <m:barPr>
                    <m:pos m:val="bot"/>
                  </m:barPr>
                  <m:e>
                    <m:r>
                      <m:t>σ</m:t>
                    </m:r>
                  </m:e>
                </m:bar>
                <m:r>
                  <m:t>ρ</m:t>
                </m:r>
                <m:r>
                  <m:rPr>
                    <m:sty m:val="p"/>
                  </m:rPr>
                  <m:t>≤</m:t>
                </m:r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≤</m:t>
                </m:r>
                <m:acc>
                  <m:accPr>
                    <m:chr m:val="‾"/>
                  </m:accPr>
                  <m:e>
                    <m:r>
                      <m:t>σ</m:t>
                    </m:r>
                  </m:e>
                </m:acc>
                <m:r>
                  <m:t>ρ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(3.5)</w:t>
            </w:r>
          </w:p>
        </w:tc>
      </w:tr>
    </w:tbl>
    <w:p>
      <w:pPr>
        <w:pStyle w:val="FirstParagraph"/>
      </w:pPr>
      <w:r>
        <w:t xml:space="preserve">Um perfil que viole esses limites é rejeitado na etapa de pré-processamento. O parâmetro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deve, ainda, permitir a descarga contínua na potência contratada pela duração exigida, considerando a faixa de operação adotada pelo empreendedor, conforme a Equação (3.6):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σ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bot"/>
                      </m:barPr>
                      <m:e>
                        <m:r>
                          <m:t>σ</m:t>
                        </m:r>
                      </m:e>
                    </m:bar>
                  </m:e>
                </m:d>
                <m:r>
                  <m:t>ρ</m:t>
                </m:r>
                <m:r>
                  <m:t> </m:t>
                </m:r>
                <m:sSup>
                  <m:e>
                    <m:r>
                      <m:t>η</m:t>
                    </m:r>
                  </m:e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</m:sup>
                </m:sSup>
                <m:r>
                  <m:rPr>
                    <m:sty m:val="p"/>
                  </m:rPr>
                  <m:t>≥</m:t>
                </m:r>
                <m:sSup>
                  <m:e>
                    <m:r>
                      <m:t>H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(3.6)</w:t>
            </w:r>
          </w:p>
        </w:tc>
      </w:tr>
    </w:tbl>
    <w:p>
      <w:pPr>
        <w:pStyle w:val="FirstParagraph"/>
      </w:pPr>
      <w:r>
        <w:t xml:space="preserve">Com os valores da Tabela 3.1, tem-se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h.</w:t>
      </w:r>
    </w:p>
    <w:p>
      <w:pPr>
        <w:pStyle w:val="BodyText"/>
      </w:pPr>
      <w:r>
        <w:rPr>
          <w:b/>
          <w:bCs/>
        </w:rPr>
        <w:t xml:space="preserve">Módulo mercantil.</w:t>
      </w:r>
      <w:r>
        <w:t xml:space="preserve"> </w:t>
      </w:r>
      <w:r>
        <w:t xml:space="preserve">O módulo mercantil dispõe da energia e da potência remanescentes após a alocação ao módulo LRCAP. A energia disponível é dada pela Equação (3.7):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t</m:t>
                    </m:r>
                    <m:r>
                      <m:t>o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ρ</m:t>
                </m:r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(3.7)</w:t>
            </w:r>
          </w:p>
        </w:tc>
      </w:tr>
    </w:tbl>
    <w:p>
      <w:pPr>
        <w:pStyle w:val="FirstParagraph"/>
      </w:pPr>
      <w:r>
        <w:t xml:space="preserve">A dinâmica do estado de carga e seus limites são descritos pelas Equações (3.8) e (3.9). A condição de contorno impõe que o estado de carga ao final do horizonte não seja inferior ao inicial, evitando que o modelo esvazie o armazenamento para aumentar artificialmente o lucro: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e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e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η</m:t>
                        </m:r>
                      </m:e>
                      <m:sup>
                        <m:r>
                          <m:t>c</m:t>
                        </m:r>
                        <m:r>
                          <m:t>h</m:t>
                        </m:r>
                      </m:sup>
                    </m:sSup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t>c</m:t>
                        </m:r>
                        <m:r>
                          <m:t>h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  <m:sup>
                            <m:r>
                              <m:t>d</m:t>
                            </m:r>
                            <m:r>
                              <m:t>i</m:t>
                            </m:r>
                            <m:r>
                              <m:t>s</m:t>
                            </m:r>
                          </m:sup>
                        </m:sSubSup>
                      </m:num>
                      <m:den>
                        <m:sSup>
                          <m:e>
                            <m:r>
                              <m:t>η</m:t>
                            </m:r>
                          </m:e>
                          <m:sup>
                            <m:r>
                              <m:t>d</m:t>
                            </m:r>
                            <m:r>
                              <m:t>i</m:t>
                            </m:r>
                            <m:r>
                              <m:t>s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e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</m:sup>
                </m:sSup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(3.8)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bar>
                  <m:barPr>
                    <m:pos m:val="bot"/>
                  </m:barPr>
                  <m:e>
                    <m:r>
                      <m:t>σ</m:t>
                    </m:r>
                  </m:e>
                </m:ba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≤</m:t>
                </m:r>
                <m:sSub>
                  <m:e>
                    <m:r>
                      <m:t>e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≤</m:t>
                </m:r>
                <m:acc>
                  <m:accPr>
                    <m:chr m:val="‾"/>
                  </m:accPr>
                  <m:e>
                    <m:r>
                      <m:t>σ</m:t>
                    </m:r>
                  </m:e>
                </m:acc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(3.9)</w:t>
            </w:r>
          </w:p>
        </w:tc>
      </w:tr>
    </w:tbl>
    <w:p>
      <w:pPr>
        <w:pStyle w:val="FirstParagraph"/>
      </w:pPr>
      <w:r>
        <w:t xml:space="preserve">As potências de carga e de descarga são limitadas pelas Equações (3.10) e (3.11). As restrições com a variável binária</w:t>
      </w:r>
      <w:r>
        <w:t xml:space="preserve"> 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t>b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impedem a carga e a descarga simultâneas, e as restrições com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garantem que a potência somada dos dois módulos não exceda a capacidade dos conversores: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c</m:t>
                    </m:r>
                    <m:r>
                      <m:t>h</m:t>
                    </m:r>
                  </m:sup>
                </m:sSubSup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c</m:t>
                    </m:r>
                    <m:r>
                      <m:t>h</m:t>
                    </m:r>
                  </m:sup>
                </m:sSup>
                <m:r>
                  <m:t> </m:t>
                </m:r>
                <m:sSubSup>
                  <m:e>
                    <m:r>
                      <m:t>y</m:t>
                    </m:r>
                  </m:e>
                  <m:sub>
                    <m:r>
                      <m:t>t</m:t>
                    </m:r>
                  </m:sub>
                  <m:sup>
                    <m:r>
                      <m:t>b</m:t>
                    </m:r>
                    <m:r>
                      <m:t>a</m:t>
                    </m:r>
                    <m:r>
                      <m:t>t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c</m:t>
                    </m:r>
                    <m:r>
                      <m:t>h</m:t>
                    </m:r>
                  </m:sup>
                </m:sSubSup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c</m:t>
                    </m:r>
                    <m:r>
                      <m:t>h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(3.10)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</m:sup>
                </m:sSubSup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t>b</m:t>
                        </m:r>
                        <m:r>
                          <m:t>a</m:t>
                        </m:r>
                        <m:r>
                          <m:t>t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</m:sup>
                </m:sSubSup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(3.11)</w:t>
            </w:r>
          </w:p>
        </w:tc>
      </w:tr>
    </w:tbl>
    <w:p>
      <w:pPr>
        <w:pStyle w:val="FirstParagraph"/>
      </w:pPr>
      <w:r>
        <w:t xml:space="preserve">Observa-se que as Equações (3.9), (3.10) e (3.11) são lineares porque</w:t>
      </w:r>
      <w:r>
        <w:t xml:space="preserve"> </w:t>
      </w:r>
      <m:oMath>
        <m:sSup>
          <m:e>
            <m:r>
              <m:t>E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 os limites remanescentes são funções afins de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, e não produtos entre variáveis.</w:t>
      </w:r>
    </w:p>
    <w:p>
      <w:pPr>
        <w:pStyle w:val="BodyText"/>
      </w:pPr>
      <w:r>
        <w:rPr>
          <w:b/>
          <w:bCs/>
        </w:rPr>
        <w:t xml:space="preserve">Balanço de potência.</w:t>
      </w:r>
      <w:r>
        <w:t xml:space="preserve"> </w:t>
      </w:r>
      <w:r>
        <w:t xml:space="preserve">No barramento do lado mercantil, a potência injetada deve igualar a potência consumida em cada intervalo, conforme a Equação (3.12):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p</m:t>
                    </m:r>
                    <m:r>
                      <m:t>v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i</m:t>
                    </m:r>
                    <m:r>
                      <m:t>m</m:t>
                    </m:r>
                    <m:r>
                      <m:t>p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c</m:t>
                    </m:r>
                    <m:r>
                      <m:t>h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l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x</m:t>
                    </m:r>
                    <m:r>
                      <m:t>p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(3.12)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Intercâmbio com a rede.</w:t>
      </w:r>
      <w:r>
        <w:t xml:space="preserve"> </w:t>
      </w:r>
      <w:r>
        <w:t xml:space="preserve">A variável binária</w:t>
      </w:r>
      <w:r>
        <w:t xml:space="preserve"> 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t>r</m:t>
            </m:r>
            <m:r>
              <m:t>e</m:t>
            </m:r>
            <m:r>
              <m:t>d</m:t>
            </m:r>
            <m:r>
              <m:t>e</m:t>
            </m:r>
          </m:sup>
        </m:sSubSup>
      </m:oMath>
      <w:r>
        <w:t xml:space="preserve"> </w:t>
      </w:r>
      <w:r>
        <w:t xml:space="preserve">impede a exportação e a importação simultâneas pelo lado mercantil (Equação (3.13)). O fluxo líquido no ponto de conexão compartilhado, que inclui os fluxos do módulo LRCAP, é limitado pela Equação (3.14):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x</m:t>
                    </m:r>
                    <m:r>
                      <m:t>p</m:t>
                    </m:r>
                  </m:sup>
                </m:sSubSup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e</m:t>
                    </m:r>
                    <m:r>
                      <m:t>x</m:t>
                    </m:r>
                    <m:r>
                      <m:t>p</m:t>
                    </m:r>
                  </m:sup>
                </m:sSup>
                <m:r>
                  <m:t> </m:t>
                </m:r>
                <m:sSubSup>
                  <m:e>
                    <m:r>
                      <m:t>y</m:t>
                    </m:r>
                  </m:e>
                  <m:sub>
                    <m:r>
                      <m:t>t</m:t>
                    </m:r>
                  </m:sub>
                  <m:sup>
                    <m:r>
                      <m:t>r</m:t>
                    </m:r>
                    <m:r>
                      <m:t>e</m:t>
                    </m:r>
                    <m:r>
                      <m:t>d</m:t>
                    </m:r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i</m:t>
                    </m:r>
                    <m:r>
                      <m:t>m</m:t>
                    </m:r>
                    <m:r>
                      <m:t>p</m:t>
                    </m:r>
                  </m:sup>
                </m:sSubSup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i</m:t>
                    </m:r>
                    <m:r>
                      <m:t>m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t</m:t>
                        </m:r>
                      </m:sub>
                      <m:sup>
                        <m:r>
                          <m:t>r</m:t>
                        </m:r>
                        <m:r>
                          <m:t>e</m:t>
                        </m:r>
                        <m:r>
                          <m:t>d</m:t>
                        </m:r>
                        <m:r>
                          <m:t>e</m:t>
                        </m:r>
                      </m:sup>
                    </m:sSubSup>
                  </m:e>
                </m:d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(3.13)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i</m:t>
                    </m:r>
                    <m:r>
                      <m:t>m</m:t>
                    </m:r>
                    <m:r>
                      <m:t>p</m:t>
                    </m:r>
                  </m:sup>
                </m:sSup>
                <m:r>
                  <m:t> </m:t>
                </m:r>
                <m:r>
                  <m:rPr>
                    <m:sty m:val="p"/>
                  </m:rPr>
                  <m:t>≤</m:t>
                </m:r>
                <m:r>
                  <m:t> 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x</m:t>
                    </m:r>
                    <m:r>
                      <m:t>p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i</m:t>
                    </m:r>
                    <m:r>
                      <m:t>m</m:t>
                    </m:r>
                    <m:r>
                      <m:t>p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d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t>r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c</m:t>
                    </m:r>
                    <m:r>
                      <m:t>h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t>r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≤</m:t>
                </m:r>
                <m:r>
                  <m:t> 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e</m:t>
                    </m:r>
                    <m:r>
                      <m:t>x</m:t>
                    </m:r>
                    <m:r>
                      <m:t>p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(3.14)</w:t>
            </w:r>
          </w:p>
        </w:tc>
      </w:tr>
    </w:tbl>
    <w:p>
      <w:pPr>
        <w:pStyle w:val="FirstParagraph"/>
      </w:pPr>
      <w:r>
        <w:t xml:space="preserve">O parâmetro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i</m:t>
            </m:r>
            <m:r>
              <m:t>m</m:t>
            </m:r>
            <m:r>
              <m:t>p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corresponde ao limite de importação do lado mercantil. Para assegurar que todo o hidrogênio produzido seja de origem renovável, adota-se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i</m:t>
            </m:r>
            <m:r>
              <m:t>m</m:t>
            </m:r>
            <m:r>
              <m:t>p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no caso de referência: o eletrolisador é suprido exclusivamente pela geração FV, diretamente ou por meio da energia armazenada no módulo mercantil.</w:t>
      </w:r>
    </w:p>
    <w:p>
      <w:pPr>
        <w:pStyle w:val="BodyText"/>
      </w:pPr>
      <w:r>
        <w:rPr>
          <w:b/>
          <w:bCs/>
        </w:rPr>
        <w:t xml:space="preserve">Eletrolisador e hidrogênio.</w:t>
      </w:r>
      <w:r>
        <w:t xml:space="preserve"> </w:t>
      </w:r>
      <w:r>
        <w:t xml:space="preserve">O eletrolisador opera entre sua carga mínima e sua potência nominal quando ligado, e sua produção é proporcional à potência consumida, com eficiência constante (Equações (3.15) e (3.16)):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α</m:t>
                    </m:r>
                  </m:e>
                  <m:sup>
                    <m:r>
                      <m:t>e</m:t>
                    </m:r>
                    <m:r>
                      <m:t>l</m:t>
                    </m:r>
                  </m:sup>
                </m:sSup>
                <m:r>
                  <m:t> 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e</m:t>
                    </m:r>
                    <m:r>
                      <m:t>l</m:t>
                    </m:r>
                  </m:sup>
                </m:sSup>
                <m:r>
                  <m:t> </m:t>
                </m:r>
                <m:sSub>
                  <m:e>
                    <m:r>
                      <m:t>z</m:t>
                    </m:r>
                  </m:e>
                  <m:sub>
                    <m:r>
                      <m:t>t</m:t>
                    </m:r>
                  </m:sub>
                </m:sSub>
                <m:r>
                  <m:t> </m:t>
                </m:r>
                <m:r>
                  <m:rPr>
                    <m:sty m:val="p"/>
                  </m:rPr>
                  <m:t>≤</m:t>
                </m:r>
                <m:r>
                  <m:t> 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l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≤</m:t>
                </m:r>
                <m:r>
                  <m:t> 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e</m:t>
                    </m:r>
                    <m:r>
                      <m:t>l</m:t>
                    </m:r>
                  </m:sup>
                </m:sSup>
                <m:r>
                  <m:t> </m:t>
                </m:r>
                <m:sSub>
                  <m:e>
                    <m:r>
                      <m:t>z</m:t>
                    </m:r>
                  </m:e>
                  <m:sub>
                    <m:r>
                      <m:t>t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(3.15)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1000</m:t>
                    </m:r>
                  </m:num>
                  <m:den>
                    <m:sSup>
                      <m:e>
                        <m:r>
                          <m:t>k</m:t>
                        </m:r>
                      </m:e>
                      <m:sup>
                        <m:r>
                          <m:t>e</m:t>
                        </m:r>
                        <m:r>
                          <m:t>l</m:t>
                        </m:r>
                      </m:sup>
                    </m:sSup>
                  </m:den>
                </m:f>
                <m:r>
                  <m:t> 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t>e</m:t>
                    </m:r>
                    <m:r>
                      <m:t>l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T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(3.16)</w:t>
            </w:r>
          </w:p>
        </w:tc>
      </w:tr>
    </w:tbl>
    <w:p>
      <w:pPr>
        <w:pStyle w:val="FirstParagraph"/>
      </w:pPr>
      <w:r>
        <w:t xml:space="preserve">O balanço do tanque de hidrogênio, com condição de contorno análoga à do BESS, é expresso pela Equação (3.17):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s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r>
                      <m:t>S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(3.17)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Contrato de fornecimento de hidrogênio.</w:t>
      </w:r>
      <w:r>
        <w:t xml:space="preserve"> </w:t>
      </w:r>
      <w:r>
        <w:t xml:space="preserve">Sem limite de volume, o hidrogênio funciona como um consumidor de energia de capacidade ilimitada a preço fixo. Com os valores da Tabela 3.1, cada MWh entregue ao eletrolisador vale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t>h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h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1000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e</m:t>
            </m:r>
            <m:r>
              <m:t>l</m:t>
            </m:r>
          </m:sup>
        </m:sSup>
        <m:r>
          <m:rPr>
            <m:sty m:val="p"/>
          </m:rPr>
          <m:t>≈</m:t>
        </m:r>
      </m:oMath>
      <w:r>
        <w:t xml:space="preserve"> </w:t>
      </w:r>
      <w:r>
        <w:t xml:space="preserve">R$ 609/MWh, valor muito superior ao PLD médio, de modo que o eletrolisador absorve quase toda a energia disponível e o MCP perde relevância. Na prática, a comercialização de hidrogênio em escala depende de contratos bilaterais com um comprador industrial, cuja demanda é limitada e cuja entrega deve ser regular. Para representar essa situação, o modelo admite um contrato de fornecimento com entrega diária entre</w:t>
      </w:r>
      <w:r>
        <w:t xml:space="preserve"> </w:t>
      </w:r>
      <m:oMath>
        <m:sSup>
          <m:e>
            <m:r>
              <m:t>D</m:t>
            </m:r>
          </m:e>
          <m:sup>
            <m:r>
              <m:t>h</m:t>
            </m:r>
            <m:r>
              <m:t>2</m:t>
            </m:r>
          </m:sup>
        </m:sSup>
      </m:oMath>
      <w:r>
        <w:t xml:space="preserve"> </w:t>
      </w:r>
      <w:r>
        <w:t xml:space="preserve">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p>
            <m:r>
              <m:t>h</m:t>
            </m:r>
            <m:r>
              <m:t>2</m:t>
            </m:r>
          </m:sup>
        </m:sSup>
      </m:oMath>
      <w:r>
        <w:t xml:space="preserve">, conforme as Equações (3.18) e (3.19):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T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nary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q</m:t>
                    </m:r>
                  </m:e>
                  <m:sub>
                    <m:r>
                      <m:t>d</m:t>
                    </m:r>
                  </m:sub>
                  <m:sup>
                    <m:r>
                      <m:t>d</m:t>
                    </m:r>
                    <m:r>
                      <m:t>e</m:t>
                    </m:r>
                    <m:r>
                      <m:t>f</m:t>
                    </m:r>
                  </m:sup>
                </m:sSubSup>
                <m:r>
                  <m:rPr>
                    <m:sty m:val="p"/>
                  </m:rPr>
                  <m:t>≥</m:t>
                </m:r>
                <m:sSup>
                  <m:e>
                    <m:r>
                      <m:t>D</m:t>
                    </m:r>
                  </m:e>
                  <m:sup>
                    <m:r>
                      <m:t>h</m:t>
                    </m:r>
                    <m:r>
                      <m:t>2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d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D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(3.18)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T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nary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D</m:t>
                        </m:r>
                      </m:e>
                    </m:acc>
                  </m:e>
                  <m:sup>
                    <m:r>
                      <m:t>h</m:t>
                    </m:r>
                    <m:r>
                      <m:t>2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∀</m:t>
                </m:r>
                <m:r>
                  <m:t>d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D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(3.19)</w:t>
            </w:r>
          </w:p>
        </w:tc>
      </w:tr>
    </w:tbl>
    <w:p>
      <w:pPr>
        <w:pStyle w:val="FirstParagraph"/>
      </w:pPr>
      <w:r>
        <w:t xml:space="preserve">A variável</w:t>
      </w:r>
      <w:r>
        <w:t xml:space="preserve"> </w:t>
      </w:r>
      <m:oMath>
        <m:sSubSup>
          <m:e>
            <m:r>
              <m:t>q</m:t>
            </m:r>
          </m:e>
          <m:sub>
            <m:r>
              <m:t>d</m:t>
            </m:r>
          </m:sub>
          <m:sup>
            <m:r>
              <m:t>d</m:t>
            </m:r>
            <m:r>
              <m:t>e</m:t>
            </m:r>
            <m:r>
              <m:t>f</m:t>
            </m:r>
          </m:sup>
        </m:sSubSup>
      </m:oMath>
      <w:r>
        <w:t xml:space="preserve"> </w:t>
      </w:r>
      <w:r>
        <w:t xml:space="preserve">representa a parcela da entrega mínima não cumprida no dia</w:t>
      </w:r>
      <w:r>
        <w:t xml:space="preserve"> </w:t>
      </w:r>
      <m:oMath>
        <m:r>
          <m:t>d</m:t>
        </m:r>
      </m:oMath>
      <w:r>
        <w:t xml:space="preserve">, sujeita à multa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  <m:r>
              <m:t>e</m:t>
            </m:r>
            <m:r>
              <m:t>f</m:t>
            </m:r>
          </m:sup>
        </m:sSup>
      </m:oMath>
      <w:r>
        <w:t xml:space="preserve"> </w:t>
      </w:r>
      <w:r>
        <w:t xml:space="preserve">na função objetivo. Sem ela, um dia de baixa irradiância tornaria o problema inviável, já que a importação de energia é vedada no caso de referência; com ela, o modelo decide entre produzir o hidrogênio, inclusive com energia previamente armazenada no BESS, e pagar a multa. Quando não há multa definida, adota-se</w:t>
      </w:r>
      <w:r>
        <w:t xml:space="preserve"> </w:t>
      </w:r>
      <m:oMath>
        <m:sSubSup>
          <m:e>
            <m:r>
              <m:t>q</m:t>
            </m:r>
          </m:e>
          <m:sub>
            <m:r>
              <m:t>d</m:t>
            </m:r>
          </m:sub>
          <m:sup>
            <m:r>
              <m:t>d</m:t>
            </m:r>
            <m:r>
              <m:t>e</m:t>
            </m:r>
            <m:r>
              <m:t>f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 a entrega mínima é obrigatória. Nos casos com contrato, adota-se</w:t>
      </w:r>
      <w:r>
        <w:t xml:space="preserve"> </w:t>
      </w:r>
      <m:oMath>
        <m:sSup>
          <m:e>
            <m:r>
              <m:t>D</m:t>
            </m:r>
          </m:e>
          <m:sup>
            <m:r>
              <m:t>h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p>
            <m:r>
              <m:t>h</m:t>
            </m:r>
            <m:r>
              <m:t>2</m:t>
            </m:r>
          </m:sup>
        </m:sSup>
      </m:oMath>
      <w:r>
        <w:t xml:space="preserve">, isto é, um volume diário firme, e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  <m:r>
              <m:t>e</m:t>
            </m:r>
            <m:r>
              <m:t>f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h</m:t>
            </m:r>
            <m:r>
              <m:t>2</m:t>
            </m:r>
          </m:sup>
        </m:sSup>
      </m:oMath>
      <w:r>
        <w:t xml:space="preserve">, valor que corresponde a ressarcir o comprador pelo produto que ele precisará adquirir de outro fornecedor. Os volumes de 2.000 e 3.000 kg/dia correspondem, respectivamente, a cerca de 65% e 98% da produção média do caso sem contrato (3.060 kg/dia). Nessa configuração, o hidrogênio produzido além do volume contratado não pode ser vendido, e a energia excedente passa a ser exportada ao MCP ou vertida, o que restabelece o papel do mercado de curto prazo na arbitragem. O caso sem contrato corresponde a</w:t>
      </w:r>
      <w:r>
        <w:t xml:space="preserve"> </w:t>
      </w:r>
      <m:oMath>
        <m:sSup>
          <m:e>
            <m:r>
              <m:t>D</m:t>
            </m:r>
          </m:e>
          <m:sup>
            <m:r>
              <m:t>h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p>
            <m:r>
              <m:t>h</m:t>
            </m:r>
            <m:r>
              <m:t>2</m:t>
            </m:r>
          </m:sup>
        </m:sSup>
      </m:oMath>
      <w:r>
        <w:t xml:space="preserve"> </w:t>
      </w:r>
      <w:r>
        <w:t xml:space="preserve">ilimitado.</w:t>
      </w:r>
    </w:p>
    <w:p>
      <w:pPr>
        <w:pStyle w:val="BodyText"/>
      </w:pPr>
      <w:r>
        <w:t xml:space="preserve">O modelo resultante, composto pela função objetivo da Equação (3.1) e pelas restrições das Equações (3.3) a (3.19), é um MILP. Sem contrato de hidrogênio, para um horizonte de uma semana (168 h), o problema possui 1.688 variáveis contínuas, 505 variáveis binárias e 2.692 restrições; para um ano (8.760 h), 87.966 variáveis contínuas, 26.281 binárias e 140.164 restrições. O contrato acrescenta duas restrições por dia.</w:t>
      </w:r>
    </w:p>
    <w:bookmarkEnd w:id="19"/>
    <w:bookmarkEnd w:id="20"/>
    <w:bookmarkStart w:id="24" w:name="dados-de-entrada"/>
    <w:p>
      <w:pPr>
        <w:pStyle w:val="Heading2"/>
      </w:pPr>
      <w:r>
        <w:t xml:space="preserve">3.5 Dados de entrada</w:t>
      </w:r>
    </w:p>
    <w:p>
      <w:pPr>
        <w:pStyle w:val="FirstParagraph"/>
      </w:pPr>
      <w:r>
        <w:rPr>
          <w:b/>
          <w:bCs/>
        </w:rPr>
        <w:t xml:space="preserve">Preço de Liquidação das Diferenças.</w:t>
      </w:r>
      <w:r>
        <w:t xml:space="preserve"> </w:t>
      </w:r>
      <w:r>
        <w:t xml:space="preserve">Utiliza-se a série horária do PLD de 2025 para o submercado Sudeste/Centro-Oeste, no qual se localiza o município de Itajubá (MG), obtida no portal de dados abertos da Câmara de Comercialização de Energia Elétrica (CCEE, 2026a). A série apresenta média de R$ 224,31/MWh, com mínimo de R$ 58,60/MWh — valor do PLD mínimo, observado em 2.030 horas, concentradas no período úmido — e máximo de R$ 1.421,87/MWh. A Figura 3.2(a) evidencia o perfil diário característico do período recente: preços reduzidos nas horas de maior geração solar e elevados na rampa noturna, com maior amplitude no período seco.</w:t>
      </w:r>
    </w:p>
    <w:p>
      <w:pPr>
        <w:pStyle w:val="BodyText"/>
      </w:pPr>
      <w:r>
        <w:rPr>
          <w:b/>
          <w:bCs/>
        </w:rPr>
        <w:t xml:space="preserve">Geração fotovoltaica.</w:t>
      </w:r>
      <w:r>
        <w:t xml:space="preserve"> </w:t>
      </w:r>
      <w:r>
        <w:t xml:space="preserve">A disponibilidade de geração FV foi obtida na plataforma</w:t>
      </w:r>
      <w:r>
        <w:t xml:space="preserve"> </w:t>
      </w:r>
      <w:r>
        <w:rPr>
          <w:i/>
          <w:iCs/>
        </w:rPr>
        <w:t xml:space="preserve">Photovoltaic Geographical Information System</w:t>
      </w:r>
      <w:r>
        <w:t xml:space="preserve"> </w:t>
      </w:r>
      <w:r>
        <w:t xml:space="preserve">(PVGIS), mantida pelo Centro Comum de Investigação da Comissão Europeia (HULD; MÜLLER; GAMBARDELLA, 2012), a partir da base de reanálise ERA5 (HERSBACH</w:t>
      </w:r>
      <w:r>
        <w:t xml:space="preserve"> </w:t>
      </w:r>
      <w:r>
        <w:rPr>
          <w:i/>
          <w:iCs/>
        </w:rPr>
        <w:t xml:space="preserve">et al.</w:t>
      </w:r>
      <w:r>
        <w:t xml:space="preserve">, 2020), para as coordenadas de Itajubá (latitude −22,425°; longitude −45,457°; altitude de 848 m). Considerou-se um sistema de silício cristalino de 1 kWp, com perdas de 14% e inclinação e azimute ótimos (25° e −165°, respectivamente), no ano de 2023, o mais recente disponível. A potência horária foi convertida em fator de capacidade, deslocada do tempo universal coordenado para o horário oficial de Brasília (UTC−3) e reposicionada no calendário de 2025, preservando mês, dia e hora, para compatibilização com a série de preços. O fator de capacidade médio resultante é de 16,9%, equivalente a 1.478 kWh/kWp por ano (Figura 3.2(b)). A série é multiplicada pela potência instalada da usina para obter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b>
            <m:r>
              <m:t>t</m:t>
            </m:r>
          </m:sub>
          <m:sup>
            <m:r>
              <m:t>p</m:t>
            </m:r>
            <m:r>
              <m:t>v</m:t>
            </m:r>
          </m:sup>
        </m:sSubSup>
      </m:oMath>
      <w:r>
        <w:t xml:space="preserve">.</w:t>
      </w:r>
    </w:p>
    <w:p>
      <w:pPr>
        <w:pStyle w:val="Legenda"/>
      </w:pPr>
      <w:r>
        <w:t xml:space="preserve">Figura 3.2 – Perfis horários médios dos dados de entrada: (a) PLD do submercado SE/CO em 2025, por período hidrológico; (b) fator de capacidade FV em Itajubá</w:t>
      </w:r>
    </w:p>
    <w:p>
      <w:pPr>
        <w:pStyle w:val="Figura"/>
      </w:pPr>
      <w:r>
        <w:drawing>
          <wp:inline>
            <wp:extent cx="5334000" cy="192024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figuras/fig_perfis_entrad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 com dados de CCEE (2026a) e do PVGIS.</w:t>
      </w:r>
    </w:p>
    <w:p>
      <w:pPr>
        <w:pStyle w:val="BodyText"/>
      </w:pPr>
      <w:r>
        <w:rPr>
          <w:b/>
          <w:bCs/>
        </w:rPr>
        <w:t xml:space="preserve">Despacho do ONS.</w:t>
      </w:r>
      <w:r>
        <w:t xml:space="preserve"> </w:t>
      </w:r>
      <w:r>
        <w:t xml:space="preserve">Na ausência de histórico de despacho de sistemas de armazenamento contratados no LRCAP, adota-se um perfil diário sintético: descarga na potência contratada entre 18 h e 22 h, horário de maior demanda líquida, e recarga entre 10 h e 15 h, até a restauração completa do estado de carga, limitada à potência nominal. O perfil é coerente com a diretriz de que a programação da recarga busque minimizar o custo total de operação do SIN (BRASIL, 2026, art. 4º, § 14), o que tende a deslocá-la para as horas de excedente de geração solar. O perfil resulta em um ciclo completo por dia (365 no ano), dentro dos limites regulatórios. Trata-se da hipótese mais intensa de uso do módulo LRCAP; o efeito de despachos menos frequentes é avaliado na Seção 3.8.2.</w:t>
      </w:r>
    </w:p>
    <w:p>
      <w:pPr>
        <w:pStyle w:val="BodyText"/>
      </w:pPr>
      <w:r>
        <w:rPr>
          <w:b/>
          <w:bCs/>
        </w:rPr>
        <w:t xml:space="preserve">Parâmetros técnico-econômicos.</w:t>
      </w:r>
      <w:r>
        <w:t xml:space="preserve"> </w:t>
      </w:r>
      <w:r>
        <w:t xml:space="preserve">Os parâmetros do eletrolisador foram definidos a partir da faixa típica da tecnologia PEM, cujo consumo específico de energia situa-se entre 4,3 e 5,2 kWh/Nm³, ou aproximadamente 48 a 58 kWh/kg, até que os dados do fabricante do equipamento da UNIFEI sejam incorporados. O preço do hidrogênio não possui, até o momento, referência de mercado consolidada no Brasil e é, por isso, objeto de análise de sensibilidade. O mesmo se aplica aos termos do contrato de fornecimento de hidrogênio — volume diário e multa por déficit —, avaliados em cenários alternativos ao caso sem contrato.</w:t>
      </w:r>
    </w:p>
    <w:p>
      <w:pPr>
        <w:pStyle w:val="BodyText"/>
      </w:pPr>
      <w:r>
        <w:rPr>
          <w:b/>
          <w:bCs/>
        </w:rPr>
        <w:t xml:space="preserve">Custo de degradação do BESS.</w:t>
      </w:r>
      <w:r>
        <w:t xml:space="preserve"> </w:t>
      </w:r>
      <w:r>
        <w:t xml:space="preserve">O custo de degradação pode ser estimado como o custo de reposição dos módulos de bateria dividido pela energia que eles descarregam ao longo da vida útil. Com o preço médio de</w:t>
      </w:r>
      <w:r>
        <w:t xml:space="preserve"> </w:t>
      </w:r>
      <w:r>
        <w:rPr>
          <w:i/>
          <w:iCs/>
        </w:rPr>
        <w:t xml:space="preserve">packs</w:t>
      </w:r>
      <w:r>
        <w:t xml:space="preserve"> </w:t>
      </w:r>
      <w:r>
        <w:t xml:space="preserve">de baterias de íons de lítio para armazenamento estacionário de US$ 70/kWh em 2025 (BNEF, 2025), convertido pela taxa PTAX de 09/12/2025 (R$ 5,4025/US$) e acrescido de 74% de tributos incidentes no Brasil (EPE, 2024), e com vida útil de 4.000 a 6.000 ciclos a 90% de profundidade de descarga, obtém-se entre R$ 120 e R$ 185 por MWh descarregado. O valor de R$ 50/MWh adotado no caso de referência situa-se abaixo dessa faixa; por isso, o efeito de valores de R$ 100 e R$ 200/MWh é avaliado na Seção 3.8.3.</w:t>
      </w:r>
    </w:p>
    <w:p>
      <w:pPr>
        <w:pStyle w:val="BodyText"/>
      </w:pPr>
      <w:r>
        <w:rPr>
          <w:b/>
          <w:bCs/>
        </w:rPr>
        <w:t xml:space="preserve">Receita fixa do LRCAP.</w:t>
      </w:r>
      <w:r>
        <w:t xml:space="preserve"> </w:t>
      </w:r>
      <w:r>
        <w:t xml:space="preserve">Como ainda não houve leilão de armazenamento em baterias no Brasil, a receita fixa foi delimitada por quatro referências. A inferior é o primeiro leilão do mecanismo italiano de contratação de capacidade de armazenamento (MACSE), realizado em setembro de 2025 com contratos de 15 anos e desenho semelhante ao do LRCAP, cujo preço médio de € 12.959/(MWh·ano) (TERNA, 2025) corresponde, para um sistema de 4 h e com a taxa de câmbio PTAX de 30/09/2025 (R$ 6,2396/€), a cerca de R$ 323 mil/(MW·ano). No LRCAP de março de 2026, que contratou o mesmo produto — potência disponível ao ONS —, termelétricas existentes a óleo e biodiesel obtiveram preço médio de R$ 831 mil/(MW·ano) (CCEE, 2026c), e o conjunto de termelétricas a gás natural, biometano e carvão e de ampliações de hidrelétricas, novas e existentes, R$ 2,334 milhões/(MW·ano) (CCEE, 2026b). Por fim, o custo de investimento de referência de sistemas de baterias, de R$ 5.000 a R$ 6.000/kW (BRASIL; EPE, 2025), corresponde, anualizado a 10% ao ano em 15 anos, a R$ 657 mil a R$ 789 mil/(MW·ano), sem considerar operação e manutenção, encargos e reposição de módulos. Com base nessas referências, a análise de sensibilidade abrange receitas fixas de R$ 330 mil a R$ 2,33 milhões/(MW·ano). O valor de R$ 600 mil/(MW·ano) adotado no caso de referência situa-se no extremo inferior dessa faixa, abaixo do preço obtido por usinas existentes e do custo anualizado de investimento em baterias, e constitui, portanto, uma hipótese conservadora quanto à atratividade do leilão.</w:t>
      </w:r>
    </w:p>
    <w:bookmarkEnd w:id="24"/>
    <w:bookmarkStart w:id="31" w:name="método-de-solução"/>
    <w:p>
      <w:pPr>
        <w:pStyle w:val="Heading2"/>
      </w:pPr>
      <w:r>
        <w:t xml:space="preserve">3.6 Método de solução</w:t>
      </w:r>
    </w:p>
    <w:bookmarkStart w:id="25" w:name="solução-por-ramificação-e-limitação"/>
    <w:p>
      <w:pPr>
        <w:pStyle w:val="Heading3"/>
      </w:pPr>
      <w:r>
        <w:t xml:space="preserve">3.6.1 Solução por ramificação e limitação</w:t>
      </w:r>
    </w:p>
    <w:p>
      <w:pPr>
        <w:pStyle w:val="FirstParagraph"/>
      </w:pPr>
      <w:r>
        <w:t xml:space="preserve">Problemas MILP são usualmente resolvidos por algoritmos de ramificação e limitação (</w:t>
      </w:r>
      <w:r>
        <w:rPr>
          <w:i/>
          <w:iCs/>
        </w:rPr>
        <w:t xml:space="preserve">branch-and-bound</w:t>
      </w:r>
      <w:r>
        <w:t xml:space="preserve">) combinados à geração de planos de corte, nos quais relaxações lineares sucessivas fornecem limites para o valor ótimo e permitem certificar a qualidade da solução por meio do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de otimalidade. Neste trabalho utiliza-se o</w:t>
      </w:r>
      <w:r>
        <w:t xml:space="preserve"> </w:t>
      </w:r>
      <w:r>
        <w:rPr>
          <w:i/>
          <w:iCs/>
        </w:rPr>
        <w:t xml:space="preserve">solver</w:t>
      </w:r>
      <w:r>
        <w:t xml:space="preserve"> </w:t>
      </w:r>
      <w:r>
        <w:t xml:space="preserve">de código aberto HiGHS (HUANGFU; HALL, 2018). Para o horizonte de uma semana, o problema é resolvido em menos de um segundo. Para o horizonte anual, entretanto, a solução direta não foi obtida em 15 minutos de processamento, o que motivou a adoção de uma estratégia de decomposição.</w:t>
      </w:r>
    </w:p>
    <w:bookmarkEnd w:id="25"/>
    <w:bookmarkStart w:id="26" w:name="decomposição-de-benders"/>
    <w:p>
      <w:pPr>
        <w:pStyle w:val="Heading3"/>
      </w:pPr>
      <w:r>
        <w:t xml:space="preserve">3.6.2 Decomposição de Benders</w:t>
      </w:r>
    </w:p>
    <w:p>
      <w:pPr>
        <w:pStyle w:val="FirstParagraph"/>
      </w:pPr>
      <w:r>
        <w:t xml:space="preserve">A estrutura do problema favorece a decomposição: a potência contratada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é a única variável que acopla todo o horizonte, enquanto as variáveis operacionais de um período se relacionam com as dos períodos vizinhos apenas pelos estados de armazenamento. Dividindo-se o ano em blocos semanais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W</m:t>
        </m:r>
      </m:oMath>
      <w:r>
        <w:t xml:space="preserve"> </w:t>
      </w:r>
      <w:r>
        <w:t xml:space="preserve">e impondo-se condições de contorno cíclicas em cada bloco — aproximação cujo efeito é avaliado ao final desta seção —, o problema anual pode ser reescrito conforme a Equação (3.20):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P</m:t>
                            </m:r>
                          </m:e>
                        </m:ba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lim>
                </m:limLow>
                <m:r>
                  <m:t> </m:t>
                </m:r>
                <m:sSup>
                  <m:e>
                    <m:r>
                      <m:t>R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 </m:t>
                </m:r>
                <m:f>
                  <m:fPr>
                    <m:type m:val="bar"/>
                  </m:fPr>
                  <m:num>
                    <m:r>
                      <m:t>H</m:t>
                    </m:r>
                  </m:num>
                  <m:den>
                    <m:r>
                      <m:t>8760</m:t>
                    </m:r>
                  </m:den>
                </m:f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w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W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(3.20)</w:t>
            </w:r>
          </w:p>
        </w:tc>
      </w:tr>
    </w:tbl>
    <w:p>
      <w:pPr>
        <w:pStyle w:val="FirstParagraph"/>
      </w:pPr>
      <w:r>
        <w:t xml:space="preserve">em que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é o número de horas do horizonte e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 o lucro operacional ótimo do bloco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quando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obtido pela solução do MILP de 168 horas descrito na Seção 3.4, sem o termo de receita fixa. Esse arranjo corresponde à estrutura clássica da decomposição de Benders (BENDERS, 1962; CONEJO</w:t>
      </w:r>
      <w:r>
        <w:t xml:space="preserve"> </w:t>
      </w:r>
      <w:r>
        <w:rPr>
          <w:i/>
          <w:iCs/>
        </w:rPr>
        <w:t xml:space="preserve">et al.</w:t>
      </w:r>
      <w:r>
        <w:t xml:space="preserve">, 2006), com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como variável do problema mestre e os blocos semanais como subproblemas independentes, que podem ser resolvidos em paralelo.</w:t>
      </w:r>
    </w:p>
    <w:p>
      <w:pPr>
        <w:pStyle w:val="BodyText"/>
      </w:pPr>
      <w:r>
        <w:t xml:space="preserve">A decomposição de Benders clássica pressupõe subproblemas lineares contínuos, cuja função valor é côncava (em problemas de maximização) e aproximável por hiperplanos obtidos a partir das variáveis duais. No presente caso, os subproblemas contêm variáveis binárias (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t>b</m:t>
            </m:r>
            <m:r>
              <m:t>a</m:t>
            </m:r>
            <m:r>
              <m:t>t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t>r</m:t>
            </m:r>
            <m:r>
              <m:t>e</m:t>
            </m:r>
            <m:r>
              <m:t>d</m:t>
            </m:r>
            <m:r>
              <m:t>e</m:t>
            </m:r>
          </m:sup>
        </m:sSubSup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), de modo que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não é, em geral, côncava, e os cortes derivados do dual da relaxação linear não são necessariamente válidos. Para contornar essa limitação, empregam-se os</w:t>
      </w:r>
      <w:r>
        <w:t xml:space="preserve"> </w:t>
      </w:r>
      <w:r>
        <w:rPr>
          <w:b/>
          <w:bCs/>
        </w:rPr>
        <w:t xml:space="preserve">cortes de Benders reforçados</w:t>
      </w:r>
      <w:r>
        <w:t xml:space="preserve"> </w:t>
      </w:r>
      <w:r>
        <w:t xml:space="preserve">(</w:t>
      </w:r>
      <w:r>
        <w:rPr>
          <w:i/>
          <w:iCs/>
        </w:rPr>
        <w:t xml:space="preserve">strengthened Benders cuts</w:t>
      </w:r>
      <w:r>
        <w:t xml:space="preserve">) propostos por Zou, Ahmed e Sun (2019). Introduz-se em cada subproblema uma variável de cópia</w:t>
      </w:r>
      <w: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</m:sub>
        </m:sSub>
      </m:oMath>
      <w:r>
        <w:t xml:space="preserve">, vinculada à decisão do mestre pela restrição</w:t>
      </w:r>
      <w: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x</m:t>
            </m:r>
          </m:e>
        </m:acc>
      </m:oMath>
      <w:r>
        <w:t xml:space="preserve">. Sendo</w:t>
      </w:r>
      <w:r>
        <w:t xml:space="preserve"> </w:t>
      </w:r>
      <m:oMath>
        <m:sSub>
          <m:e>
            <m:r>
              <m:t>λ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o multiplicador dual dessa restrição na relaxação linear do subproblema, calcula-se o valor da relaxação lagrangiana da Equação (3.21):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w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lim>
                </m:limLow>
                <m:r>
                  <m:t> </m:t>
                </m:r>
                <m:sSub>
                  <m:e>
                    <m:r>
                      <m:t>f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z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w</m:t>
                    </m:r>
                  </m:sub>
                </m:sSub>
                <m:r>
                  <m:t> </m:t>
                </m:r>
                <m:sSub>
                  <m:e>
                    <m:r>
                      <m:t>z</m:t>
                    </m:r>
                  </m:e>
                  <m:sub>
                    <m:r>
                      <m:t>w</m:t>
                    </m:r>
                  </m:sub>
                </m:sSub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(3.21)</w:t>
            </w:r>
          </w:p>
        </w:tc>
      </w:tr>
    </w:tbl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t>X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é o conjunto viável do MILP do bloco, com</w:t>
      </w:r>
      <w: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livre, e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é a sua função objetivo operacional. Por dualidade lagrangiana, para qualquer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vale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w</m:t>
            </m:r>
          </m:sub>
        </m:sSub>
        <m:r>
          <m:t>x</m:t>
        </m:r>
      </m:oMath>
      <w:r>
        <w:t xml:space="preserve">, o que fornece o corte válido da Equação (3.22):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θ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C</m:t>
                    </m:r>
                  </m:e>
                  <m:sub>
                    <m:r>
                      <m:t>w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λ</m:t>
                    </m:r>
                  </m:e>
                  <m:sub>
                    <m:r>
                      <m:t>w</m:t>
                    </m:r>
                  </m:sub>
                </m:sSub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(3.22)</w:t>
            </w:r>
          </w:p>
        </w:tc>
      </w:tr>
    </w:tbl>
    <w:p>
      <w:pPr>
        <w:pStyle w:val="FirstParagraph"/>
      </w:pPr>
      <w:r>
        <w:t xml:space="preserve">Para preservar a validade do corte mesmo quando o MILP lagrangiano não é resolvido até a otimalidade exata,</w:t>
      </w:r>
      <w:r>
        <w:t xml:space="preserve"> </w:t>
      </w:r>
      <m:oMath>
        <m:sSub>
          <m:e>
            <m:r>
              <m:t>C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é tomado como o limite dual reportado pelo</w:t>
      </w:r>
      <w:r>
        <w:t xml:space="preserve"> </w:t>
      </w:r>
      <w:r>
        <w:rPr>
          <w:i/>
          <w:iCs/>
        </w:rPr>
        <w:t xml:space="preserve">solver</w:t>
      </w:r>
      <w:r>
        <w:t xml:space="preserve">, e não como o valor da melhor solução encontrada.</w:t>
      </w:r>
    </w:p>
    <w:p>
      <w:pPr>
        <w:pStyle w:val="BodyText"/>
      </w:pPr>
      <w:r>
        <w:t xml:space="preserve">O problema mestre, apresentado na Equação (3.23), é um MILP de pequeno porte, com uma variável contínua para a potência, uma binária para a participação e uma variável</w:t>
      </w:r>
      <w:r>
        <w:t xml:space="preserve"> </w:t>
      </w:r>
      <m:oMath>
        <m:sSub>
          <m:e>
            <m:r>
              <m:t>θ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por bloco: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max</m:t>
                </m:r>
                <m:r>
                  <m:t> </m:t>
                </m:r>
                <m:sSup>
                  <m:e>
                    <m:r>
                      <m:t>R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 </m:t>
                </m:r>
                <m:f>
                  <m:fPr>
                    <m:type m:val="bar"/>
                  </m:fPr>
                  <m:num>
                    <m:r>
                      <m:t>H</m:t>
                    </m:r>
                  </m:num>
                  <m:den>
                    <m:r>
                      <m:t>8760</m:t>
                    </m:r>
                  </m:den>
                </m:f>
                <m:r>
                  <m:t> 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w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W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nary>
                <m:r>
                  <m:t> </m:t>
                </m:r>
                <m:r>
                  <m:rPr>
                    <m:nor/>
                  </m:rPr>
                  <m:t>s.a.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Sup>
                  <m:e>
                    <m:r>
                      <m:t>C</m:t>
                    </m:r>
                  </m:e>
                  <m:sub>
                    <m:r>
                      <m:t>w</m:t>
                    </m:r>
                  </m:sub>
                  <m:sup>
                    <m:r>
                      <m:t>k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λ</m:t>
                    </m:r>
                  </m:e>
                  <m:sub>
                    <m:r>
                      <m:t>w</m:t>
                    </m:r>
                  </m:sub>
                  <m:sup>
                    <m:r>
                      <m:t>k</m:t>
                    </m:r>
                  </m:sup>
                </m:sSubSup>
                <m:r>
                  <m:t> </m:t>
                </m:r>
                <m:r>
                  <m:t>P</m:t>
                </m:r>
                <m:r>
                  <m:t> </m:t>
                </m:r>
                <m:r>
                  <m:t> </m:t>
                </m:r>
                <m:r>
                  <m:rPr>
                    <m:sty m:val="p"/>
                  </m:rPr>
                  <m:t>∀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p>
                  <m:e>
                    <m:bar>
                      <m:barPr>
                        <m:pos m:val="bot"/>
                      </m:barPr>
                      <m:e>
                        <m:r>
                          <m:t>P</m:t>
                        </m:r>
                      </m:e>
                    </m:ba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w</m:t>
                </m:r>
                <m:r>
                  <m:rPr>
                    <m:sty m:val="p"/>
                  </m:rPr>
                  <m:t>≤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w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(3.23)</w:t>
            </w:r>
          </w:p>
        </w:tc>
      </w:tr>
    </w:tbl>
    <w:p>
      <w:pPr>
        <w:pStyle w:val="FirstParagraph"/>
      </w:pPr>
      <w:r>
        <w:t xml:space="preserve">em que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indexa os cortes acumulados ao longo das iterações.</w:t>
      </w:r>
    </w:p>
    <w:p>
      <w:pPr>
        <w:pStyle w:val="BodyText"/>
      </w:pPr>
      <w:r>
        <w:t xml:space="preserve">As condições de contorno cíclicas restringem o problema anual, pois impedem transferências de energia e de hidrogênio entre blocos; o valor obtido com blocos semanais é, portanto, um limite inferior do valor do problema anual. Como a solução direta do problema anual não foi obtida, o efeito dessa restrição é estimado comparando-se o lucro anual, para uma mesma potência contratada, com blocos de 7, 14 e 28 dias, e refazendo-se a decomposição com blocos de 14 dias. Se o lucro não aumentar com o tamanho do bloco, a restrição pode ser considerada inativa.</w:t>
      </w:r>
    </w:p>
    <w:bookmarkEnd w:id="26"/>
    <w:bookmarkStart w:id="30" w:name="algoritmo-e-critério-de-convergência"/>
    <w:p>
      <w:pPr>
        <w:pStyle w:val="Heading3"/>
      </w:pPr>
      <w:r>
        <w:t xml:space="preserve">3.6.3 Algoritmo e critério de convergência</w:t>
      </w:r>
    </w:p>
    <w:p>
      <w:pPr>
        <w:pStyle w:val="FirstParagraph"/>
      </w:pPr>
      <w:r>
        <w:t xml:space="preserve">O procedimento, ilustrado na Figura 3.3, é composto pelas seguintes etapas: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inicialização:</w:t>
      </w:r>
      <w:r>
        <w:t xml:space="preserve"> </w:t>
      </w:r>
      <w:r>
        <w:t xml:space="preserve">avaliam-se os pontos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 </m:t>
        </m:r>
        <m:sSup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,</m:t>
        </m:r>
        <m:r>
          <m:t> 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}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subproblemas:</w:t>
      </w:r>
      <w:r>
        <w:t xml:space="preserve"> </w:t>
      </w:r>
      <w:r>
        <w:t xml:space="preserve">para cada bloco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 para o ponto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resolvem-se (i) o MILP com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acc>
          <m:accPr>
            <m:chr m:val="̂"/>
          </m:accPr>
          <m:e>
            <m:r>
              <m:t>x</m:t>
            </m:r>
          </m:e>
        </m:acc>
      </m:oMath>
      <w:r>
        <w:t xml:space="preserve">, que fornece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; (ii) a relaxação linear, que fornece</w:t>
      </w:r>
      <w:r>
        <w:t xml:space="preserve"> </w:t>
      </w:r>
      <m:oMath>
        <m:sSub>
          <m:e>
            <m:r>
              <m:t>λ</m:t>
            </m:r>
          </m:e>
          <m:sub>
            <m:r>
              <m:t>w</m:t>
            </m:r>
          </m:sub>
        </m:sSub>
      </m:oMath>
      <w:r>
        <w:t xml:space="preserve">; e (iii) o MILP lagrangiano, que fornece</w:t>
      </w:r>
      <w:r>
        <w:t xml:space="preserve"> </w:t>
      </w:r>
      <m:oMath>
        <m:sSub>
          <m:e>
            <m:r>
              <m:t>C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limite inferior:</w:t>
      </w:r>
      <w:r>
        <w:t xml:space="preserve"> </w:t>
      </w:r>
      <w:r>
        <w:t xml:space="preserve">como o valor</w:t>
      </w:r>
      <w:r>
        <w:t xml:space="preserve"> </w:t>
      </w:r>
      <m:oMath>
        <m:sSup>
          <m:e>
            <m:r>
              <m:t>R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8760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w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w</m:t>
                </m:r>
              </m:sub>
            </m:sSub>
          </m:e>
        </m:nary>
        <m:r>
          <m:rPr>
            <m:sty m:val="p"/>
          </m:rPr>
          <m:t>(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corresponde a uma solução viável do problema original, ele constitui um limite inferior (</w:t>
      </w:r>
      <m:oMath>
        <m:r>
          <m:t>L</m:t>
        </m:r>
        <m:r>
          <m:t>B</m:t>
        </m:r>
      </m:oMath>
      <w:r>
        <w:t xml:space="preserve">), atualizado com o melhor valor obtido;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problema mestre:</w:t>
      </w:r>
      <w:r>
        <w:t xml:space="preserve"> </w:t>
      </w:r>
      <w:r>
        <w:t xml:space="preserve">adicionam-se os novos cortes e resolve-se o mestre, cuja solução fornece o próximo ponto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e cujo valor ótimo constitui um limite superior (</w:t>
      </w:r>
      <m:oMath>
        <m:r>
          <m:t>U</m:t>
        </m:r>
        <m:r>
          <m:t>B</m:t>
        </m:r>
      </m:oMath>
      <w:r>
        <w:t xml:space="preserve">), uma vez que os cortes superestimam a função valor;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critério de parada:</w:t>
      </w:r>
      <w:r>
        <w:t xml:space="preserve"> </w:t>
      </w:r>
      <w:r>
        <w:t xml:space="preserve">o algoritmo termina quando 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relativo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t>B</m:t>
        </m:r>
        <m:r>
          <m:rPr>
            <m:sty m:val="p"/>
          </m:rPr>
          <m:t>−</m:t>
        </m:r>
        <m:r>
          <m:t>L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L</m:t>
        </m:r>
        <m:r>
          <m:t>B</m:t>
        </m:r>
      </m:oMath>
      <w:r>
        <w:t xml:space="preserve"> </w:t>
      </w:r>
      <w:r>
        <w:t xml:space="preserve">é inferior a uma tolerância</w:t>
      </w:r>
      <w:r>
        <w:t xml:space="preserve"> </w:t>
      </w:r>
      <m:oMath>
        <m:r>
          <m:t>ε</m:t>
        </m:r>
      </m:oMath>
      <w:r>
        <w:t xml:space="preserve">, adotada como 0,1%. Caso o mestre proponha um ponto já avaliado, o procedimento é interrompido e 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remanescente é reportado como certificado da qualidade da solução.</w:t>
      </w:r>
    </w:p>
    <w:p>
      <w:pPr>
        <w:pStyle w:val="Legenda"/>
      </w:pPr>
      <w:r>
        <w:t xml:space="preserve">Figura 3.3 – Fluxograma do algoritmo de decomposição de Benders com cortes reforçados</w:t>
      </w:r>
    </w:p>
    <w:p>
      <w:pPr>
        <w:pStyle w:val="Figura"/>
      </w:pPr>
      <w:r>
        <w:drawing>
          <wp:inline>
            <wp:extent cx="5334000" cy="527124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as/fig_fluxograma_bender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Uma propriedade relevante do método é que ele fornece, a cada iteração, limites superior e inferior para o lucro ótimo, de modo que a qualidade da solução final é certificada, e não apenas estimada. Essa característica o distingue de métodos heurísticos e meta-heurísticos, como algoritmos genéticos, frequentemente empregados em problemas de dimensionamento e operação de sistemas de armazenamento (FENG</w:t>
      </w:r>
      <w:r>
        <w:t xml:space="preserve"> </w:t>
      </w:r>
      <w:r>
        <w:rPr>
          <w:i/>
          <w:iCs/>
        </w:rPr>
        <w:t xml:space="preserve">et al.</w:t>
      </w:r>
      <w:r>
        <w:t xml:space="preserve">, 2022), mas que não oferecem garantia de otimalidade.</w:t>
      </w:r>
    </w:p>
    <w:bookmarkEnd w:id="30"/>
    <w:bookmarkEnd w:id="31"/>
    <w:bookmarkStart w:id="36" w:name="Xce7ed4b0f7a6b24d616fa6258d8d14326005341"/>
    <w:p>
      <w:pPr>
        <w:pStyle w:val="Heading2"/>
      </w:pPr>
      <w:r>
        <w:t xml:space="preserve">3.7 Extensão estocástica e valor da informação</w:t>
      </w:r>
    </w:p>
    <w:p>
      <w:pPr>
        <w:pStyle w:val="FirstParagraph"/>
      </w:pPr>
      <w:r>
        <w:t xml:space="preserve">A formulação das Seções 3.4 a 3.6 supõe que as séries de preço e de geração do ano de análise sejam conhecidas no momento da contratação. Na prática, a potência ofertada no LRCAP é definida antes do início do contrato e permanece fixa durante 15 anos, enquanto o PLD e a irradiância variam de um ano para outro. Esta seção apresenta a extensão estocástica do modelo, que trata essa incerteza, e os indicadores utilizados para quantificar o benefício de considerá-la: o valor da solução estocástica (VSS) e o valor esperado da informação perfeita (EVPI).</w:t>
      </w:r>
    </w:p>
    <w:bookmarkStart w:id="32" w:name="formulação-em-dois-estágios"/>
    <w:p>
      <w:pPr>
        <w:pStyle w:val="Heading3"/>
      </w:pPr>
      <w:r>
        <w:t xml:space="preserve">3.7.1 Formulação em dois estágios</w:t>
      </w:r>
    </w:p>
    <w:p>
      <w:pPr>
        <w:pStyle w:val="FirstParagraph"/>
      </w:pPr>
      <w:r>
        <w:t xml:space="preserve">O problema é reescrito como um programa estocástico de dois estágios com recurso (BIRGE; LOUVEAUX, 2011; CONEJO; CARRIÓN; MORALES, 2010). No primeiro estágio, decide-se a potência contratada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, comum a todos os cenários. No segundo estágio, observado o cenário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 com probabilidade</w:t>
      </w:r>
      <w:r>
        <w:t xml:space="preserve"> </w:t>
      </w:r>
      <m:oMath>
        <m:sSub>
          <m:e>
            <m:r>
              <m:t>π</m:t>
            </m:r>
          </m:e>
          <m:sub>
            <m:r>
              <m:t>s</m:t>
            </m:r>
          </m:sub>
        </m:sSub>
      </m:oMath>
      <w:r>
        <w:t xml:space="preserve">, a operação horária se ajusta de forma ótima à decisão de contratação. O lucro anual do cenário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é dado pela Equação (3.24):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R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w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W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w</m:t>
                        </m:r>
                      </m:sub>
                    </m:sSub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(3.24)</w:t>
            </w:r>
          </w:p>
        </w:tc>
      </w:tr>
    </w:tbl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W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é o conjunto de blocos semanais do ano associado ao cenário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 </w:t>
      </w:r>
      <w:r>
        <w:t xml:space="preserve">é o lucro operacional ótimo do bloco, definido como na Seção 3.6.2, com as séries daquele cenário.</w:t>
      </w:r>
    </w:p>
    <w:p>
      <w:pPr>
        <w:pStyle w:val="BodyText"/>
      </w:pPr>
      <w:r>
        <w:t xml:space="preserve">Para representar a aversão ao risco do empreendedor, o objetivo combina o lucro esperado com o valor condicional em risco (</w:t>
      </w:r>
      <w:r>
        <w:rPr>
          <w:i/>
          <w:iCs/>
        </w:rPr>
        <w:t xml:space="preserve">Conditional Value-at-Risk</w:t>
      </w:r>
      <w:r>
        <w:t xml:space="preserve">, CVaR), conforme a Equação (3.25):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X</m:t>
                    </m:r>
                  </m:lim>
                </m:limLow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α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Π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P</m:t>
                            </m:r>
                          </m:e>
                          <m:sup>
                            <m:r>
                              <m:t>c</m:t>
                            </m:r>
                            <m:r>
                              <m:t>a</m:t>
                            </m:r>
                            <m:r>
                              <m:t>p</m:t>
                            </m:r>
                          </m:sup>
                        </m:sSup>
                      </m:e>
                    </m:d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(3.25)</w:t>
            </w:r>
          </w:p>
        </w:tc>
      </w:tr>
    </w:tbl>
    <w:p>
      <w:pPr>
        <w:pStyle w:val="FirstParagraph"/>
      </w:pPr>
      <w:r>
        <w:t xml:space="preserve">em que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[</m:t>
        </m:r>
        <m:sSup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é o conjunto de potências admissíveis,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é o peso atribuído ao risco (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corresponde a um agente neutro ao risco) 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é o nível de confiança do CVaR. Para uma distribuição discreta de lucros, o CVaR corresponde ao lucro médio na cauda inferior de probabilidade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e pode ser escrito na forma linear de Rockafellar e Uryasev (2000), apresentada na Equação (3.26):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α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Π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ζ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ν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lim>
                </m:limLow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ζ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S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 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 </m:t>
                    </m:r>
                    <m:r>
                      <m:t> 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ζ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p"/>
                          </m:rPr>
                          <m:t>Π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 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∀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(3.26)</w:t>
            </w:r>
          </w:p>
        </w:tc>
      </w:tr>
    </w:tbl>
    <w:p>
      <w:pPr>
        <w:pStyle w:val="FirstParagraph"/>
      </w:pPr>
      <w:r>
        <w:t xml:space="preserve">em que</w:t>
      </w:r>
      <w:r>
        <w:t xml:space="preserve"> </w:t>
      </w:r>
      <m:oMath>
        <m:r>
          <m:t>ζ</m:t>
        </m:r>
      </m:oMath>
      <w:r>
        <w:t xml:space="preserve"> </w:t>
      </w:r>
      <w:r>
        <w:t xml:space="preserve">é uma variável auxiliar cujo valor ótimo corresponde ao valor em risco (VaR) e</w:t>
      </w:r>
      <w:r>
        <w:t xml:space="preserve"> </w:t>
      </w:r>
      <m:oMath>
        <m:sSub>
          <m:e>
            <m:r>
              <m:t>ν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mede o quanto o lucro do cenário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fica abaixo de</w:t>
      </w:r>
      <w:r>
        <w:t xml:space="preserve"> </w:t>
      </w:r>
      <m:oMath>
        <m:r>
          <m:t>ζ</m:t>
        </m:r>
      </m:oMath>
      <w:r>
        <w:t xml:space="preserve">.</w:t>
      </w:r>
    </w:p>
    <w:bookmarkEnd w:id="32"/>
    <w:bookmarkStart w:id="33" w:name="cenários"/>
    <w:p>
      <w:pPr>
        <w:pStyle w:val="Heading3"/>
      </w:pPr>
      <w:r>
        <w:t xml:space="preserve">3.7.2 Cenários</w:t>
      </w:r>
    </w:p>
    <w:p>
      <w:pPr>
        <w:pStyle w:val="FirstParagraph"/>
      </w:pPr>
      <w:r>
        <w:t xml:space="preserve">Os cenários correspondem aos cinco anos históricos de 2021 a 2025, considerados equiprováveis (</w:t>
      </w:r>
      <m:oMath>
        <m:sSub>
          <m:e>
            <m: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). Cada cenário reúne:</w:t>
      </w:r>
    </w:p>
    <w:p>
      <w:pPr>
        <w:numPr>
          <w:ilvl w:val="0"/>
          <w:numId w:val="1003"/>
        </w:numPr>
      </w:pPr>
      <w:r>
        <w:t xml:space="preserve">a série horária do PLD do submercado SE/CO do respectivo ano (CCEE, 2026a), corrigida para valores de dezembro de 2025 pelo IPCA (IBGE, 2026), por meio do fator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2025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, em que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é o ano do cenário. Com variações anuais do IPCA de 5,79% (2022), 4,62% (2023), 4,83% (2024) e 4,26% (2025), obtêm-se fatores de 1,2097, 1,1435, 1,0930, 1,0426 e 1,0000 para os cenários de 2021 a 2025, respectivamente;</w:t>
      </w:r>
    </w:p>
    <w:p>
      <w:pPr>
        <w:numPr>
          <w:ilvl w:val="0"/>
          <w:numId w:val="1003"/>
        </w:numPr>
      </w:pPr>
      <w:r>
        <w:t xml:space="preserve">a série de fator de capacidade FV obtida no PVGIS a partir da base de satélite SARAH-3, para as mesmas coordenadas e configuração descritas na Seção 3.5. Como a base cobre apenas o período até 2023, os cenários de 2024 e 2025 utilizam a série de 2023;</w:t>
      </w:r>
    </w:p>
    <w:p>
      <w:pPr>
        <w:numPr>
          <w:ilvl w:val="0"/>
          <w:numId w:val="1003"/>
        </w:numPr>
      </w:pPr>
      <w:r>
        <w:t xml:space="preserve">o perfil de despacho do ONS, que, em lugar do perfil fixo da Seção 3.5, passa a depender do preço do cenário: em cada dia, a descarga ocorre no bloco de</w:t>
      </w:r>
      <w:r>
        <w:t xml:space="preserve"> </w:t>
      </w:r>
      <m:oMath>
        <m:sSup>
          <m:e>
            <m:r>
              <m:t>H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horas consecutivas de maior PLD médio após o período de geração solar, e a recarga, nas horas de menor PLD da janela entre 8 h e 16 h, até a restauração do estado de carga. Trata-se de uma aproximação do despacho por mínimo custo previsto na Portaria (BRASIL, 2026, art. 4º, § 14), que preserva a correlação entre o despacho e o preço em cada cenário.</w:t>
      </w:r>
    </w:p>
    <w:p>
      <w:pPr>
        <w:pStyle w:val="FirstParagraph"/>
      </w:pPr>
      <w:r>
        <w:t xml:space="preserve">No caso estocástico, considera-se ainda um custo por partida do eletrolisador,</w:t>
      </w:r>
      <w:r>
        <w:t xml:space="preserve"> </w:t>
      </w:r>
      <m:oMath>
        <m:sSup>
          <m:e>
            <m:r>
              <m:t>c</m:t>
            </m:r>
          </m:e>
          <m:sup>
            <m:r>
              <m:t>p</m:t>
            </m:r>
            <m:r>
              <m:t>a</m:t>
            </m:r>
            <m:r>
              <m:t>r</m:t>
            </m:r>
            <m:r>
              <m:t>t</m:t>
            </m:r>
          </m:sup>
        </m:sSup>
      </m:oMath>
      <w:r>
        <w:t xml:space="preserve">, associado a uma variável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que penaliza ligamentos frequentes.</w:t>
      </w:r>
    </w:p>
    <w:p>
      <w:pPr>
        <w:pStyle w:val="BodyText"/>
      </w:pPr>
      <w:r>
        <w:t xml:space="preserve">Com cinco cenários equiprováveis 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, a cauda de probabilidade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contém exatamente um cenário, de modo que o CVaR coincide com o lucro do pior ano. Ressalta-se que cinco anos constituem uma amostra pequena da variabilidade hidrológica e de preços, de forma que os resultados refletem a amostra histórica disponível e não uma distribuição de probabilidade ajustada.</w:t>
      </w:r>
    </w:p>
    <w:bookmarkEnd w:id="33"/>
    <w:bookmarkStart w:id="34" w:name="método-de-solução-1"/>
    <w:p>
      <w:pPr>
        <w:pStyle w:val="Heading3"/>
      </w:pPr>
      <w:r>
        <w:t xml:space="preserve">3.7.3 Método de solução</w:t>
      </w:r>
    </w:p>
    <w:p>
      <w:pPr>
        <w:pStyle w:val="FirstParagraph"/>
      </w:pPr>
      <w:r>
        <w:t xml:space="preserve">A decomposição de Benders da Seção 3.6 estende-se naturalmente ao caso estocástico: cada par (cenário, bloco semanal) constitui um subproblema independente, e o problema mestre passa a conter uma variável</w:t>
      </w:r>
      <w:r>
        <w:t xml:space="preserve"> </w:t>
      </w:r>
      <m:oMath>
        <m:sSub>
          <m:e>
            <m:r>
              <m:t>θ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 </w:t>
      </w:r>
      <w:r>
        <w:t xml:space="preserve">por subproblema, além das variáveis do CVaR, conforme as Equações (3.27) a (3.29):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max</m:t>
                </m:r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β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ζ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S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π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(3.27)</w:t>
            </w:r>
          </w:p>
        </w:tc>
      </w:tr>
    </w:tbl>
    <w:p>
      <w:pPr>
        <w:pStyle w:val="FirstParagraph"/>
      </w:pPr>
      <w:r>
        <w:t xml:space="preserve">sujeito a: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R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P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w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W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w</m:t>
                        </m:r>
                      </m:sub>
                    </m:sSub>
                  </m:e>
                </m:nary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s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θ</m:t>
                    </m:r>
                  </m:e>
                  <m:sub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Sup>
                  <m:e>
                    <m:r>
                      <m:t>C</m:t>
                    </m:r>
                  </m:e>
                  <m:sub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w</m:t>
                    </m:r>
                  </m:sub>
                  <m:sup>
                    <m:r>
                      <m:t>k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λ</m:t>
                    </m:r>
                  </m:e>
                  <m:sub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w</m:t>
                    </m:r>
                  </m:sub>
                  <m:sup>
                    <m:r>
                      <m:t>k</m:t>
                    </m:r>
                  </m:sup>
                </m:sSubSup>
                <m:r>
                  <m:t> </m:t>
                </m:r>
                <m:r>
                  <m:t>P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(3.28)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t>ν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ζ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ν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s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p>
                  <m:e>
                    <m:bar>
                      <m:barPr>
                        <m:pos m:val="bot"/>
                      </m:barPr>
                      <m:e>
                        <m:r>
                          <m:t>P</m:t>
                        </m:r>
                      </m:e>
                    </m:ba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w</m:t>
                </m:r>
                <m:r>
                  <m:rPr>
                    <m:sty m:val="p"/>
                  </m:rPr>
                  <m:t>≤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w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(3.29)</w:t>
            </w:r>
          </w:p>
        </w:tc>
      </w:tr>
    </w:tbl>
    <w:p>
      <w:pPr>
        <w:pStyle w:val="FirstParagraph"/>
      </w:pPr>
      <w:r>
        <w:t xml:space="preserve">Como o objetivo é não decrescente em cada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 os cortes superestimam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</m:oMath>
      <w:r>
        <w:t xml:space="preserve">, o valor ótimo do mestre continua a ser um limite superior válido. Os cortes não dependem de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 de</w:t>
      </w:r>
      <w:r>
        <w:t xml:space="preserve"> </w:t>
      </w:r>
      <m:oMath>
        <m:r>
          <m:t>β</m:t>
        </m:r>
      </m:oMath>
      <w:r>
        <w:t xml:space="preserve">, o que permite reaproveitá-los na construção da fronteira entre risco e retorno.</w:t>
      </w:r>
    </w:p>
    <w:p>
      <w:pPr>
        <w:pStyle w:val="BodyText"/>
      </w:pPr>
      <w:r>
        <w:t xml:space="preserve">Quanto à validade dos cortes reforçados com uma variável de primeiro estágio contínua, observa-se que a desigualdade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</m:sub>
        </m:sSub>
        <m:r>
          <m:t> </m:t>
        </m:r>
        <m:r>
          <m:t>x</m:t>
        </m:r>
      </m:oMath>
      <w:r>
        <w:t xml:space="preserve"> </w:t>
      </w:r>
      <w:r>
        <w:t xml:space="preserve">decorre apenas da dualidade lagrangiana e vale para qualquer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admissível, seja ele contínuo ou inteiro. O que exige variáveis de primeiro estágio binárias, no trabalho de Zou, Ahmed e Sun (2019), é a garantia de que os cortes sejam exatos nos pontos avaliados e, portanto, a convergência finita do algoritmo. Como essa garantia não se aplica a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, a qualidade da solução é atestada pelo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entre os limites superior e inferior, e não pela convergência teórica.</w:t>
      </w:r>
    </w:p>
    <w:bookmarkEnd w:id="34"/>
    <w:bookmarkStart w:id="35" w:name="X803239abd151ab68ada138485f7ac164ea0f3ed"/>
    <w:p>
      <w:pPr>
        <w:pStyle w:val="Heading3"/>
      </w:pPr>
      <w:r>
        <w:t xml:space="preserve">3.7.4 Valor da solução estocástica e valor esperado da informação perfeita</w:t>
      </w:r>
    </w:p>
    <w:p>
      <w:pPr>
        <w:pStyle w:val="FirstParagraph"/>
      </w:pPr>
      <w:r>
        <w:t xml:space="preserve">O VSS e o EVPI (BIRGE, 1982; BIRGE; LOUVEAUX, 2011) quantificam, respectivamente, o ganho de resolver o problema estocástico em lugar de um problema determinístico baseado em valores médios e o ganho que se obteria caso o cenário fosse conhecido antes da contratação. Ambos são definidos para o objetivo de valor esperado e, por isso, são calculados com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 Para um problema de maximização, definem-se quatro quantidades.</w:t>
      </w:r>
    </w:p>
    <w:p>
      <w:pPr>
        <w:pStyle w:val="BodyText"/>
      </w:pPr>
      <w:r>
        <w:t xml:space="preserve">O valor do</w:t>
      </w:r>
      <w:r>
        <w:t xml:space="preserve"> </w:t>
      </w:r>
      <w:r>
        <w:rPr>
          <w:b/>
          <w:bCs/>
        </w:rPr>
        <w:t xml:space="preserve">problema estocástico</w:t>
      </w:r>
      <w:r>
        <w:t xml:space="preserve"> </w:t>
      </w:r>
      <w:r>
        <w:t xml:space="preserve">(</w:t>
      </w:r>
      <w:r>
        <w:rPr>
          <w:i/>
          <w:iCs/>
        </w:rPr>
        <w:t xml:space="preserve">recourse problem</w:t>
      </w:r>
      <w:r>
        <w:t xml:space="preserve">, RP) é o lucro esperado ótimo da Equação (3.25) com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dado pela Equação (3.30):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X</m:t>
                    </m:r>
                  </m:lim>
                </m:limLow>
                <m:r>
                  <m:t> 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(3.30)</w:t>
            </w:r>
          </w:p>
        </w:tc>
      </w:tr>
    </w:tbl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solução espera-e-vê</w:t>
      </w:r>
      <w:r>
        <w:t xml:space="preserve"> </w:t>
      </w:r>
      <w:r>
        <w:t xml:space="preserve">(</w:t>
      </w:r>
      <w:r>
        <w:rPr>
          <w:i/>
          <w:iCs/>
        </w:rPr>
        <w:t xml:space="preserve">wait-and-see</w:t>
      </w:r>
      <w:r>
        <w:t xml:space="preserve">, WS) corresponde a um agente que conhece o cenário antes de decidir a potência e escolhe, em cada um, a contratação ótima, conforme a Equação (3.31):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nary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X</m:t>
                    </m:r>
                  </m:lim>
                </m:limLow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(3.31)</w:t>
            </w:r>
          </w:p>
        </w:tc>
      </w:tr>
    </w:tbl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problema do valor esperado</w:t>
      </w:r>
      <w:r>
        <w:t xml:space="preserve"> </w:t>
      </w:r>
      <w:r>
        <w:t xml:space="preserve">(</w:t>
      </w:r>
      <w:r>
        <w:rPr>
          <w:i/>
          <w:iCs/>
        </w:rPr>
        <w:t xml:space="preserve">expected value</w:t>
      </w:r>
      <w:r>
        <w:t xml:space="preserve">, EV) substitui os cenários por um único cenário médio,</w:t>
      </w:r>
      <w:r>
        <w:t xml:space="preserve"> </w:t>
      </w:r>
      <m:oMath>
        <m:acc>
          <m:accPr>
            <m:chr m:val="‾"/>
          </m:accPr>
          <m:e>
            <m:r>
              <m:t>ξ</m:t>
            </m:r>
          </m:e>
        </m:acc>
      </m:oMath>
      <w:r>
        <w:t xml:space="preserve">, e fornece a decisão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E</m:t>
            </m:r>
            <m:r>
              <m:t>V</m:t>
            </m:r>
          </m:sup>
        </m:sSup>
      </m:oMath>
      <w:r>
        <w:t xml:space="preserve">, segundo a Equação (3.32):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E</m:t>
                    </m:r>
                    <m:r>
                      <m:t>V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X</m:t>
                    </m:r>
                  </m:lim>
                </m:limLow>
                <m:r>
                  <m:t> </m:t>
                </m:r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acc>
                      <m:accPr>
                        <m:chr m:val="‾"/>
                      </m:accPr>
                      <m:e>
                        <m:r>
                          <m:t>ξ</m:t>
                        </m:r>
                      </m:e>
                    </m:acc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P</m:t>
                        </m:r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(3.32)</w:t>
            </w:r>
          </w:p>
        </w:tc>
      </w:tr>
    </w:tbl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valor esperado da solução EV</w:t>
      </w:r>
      <w:r>
        <w:t xml:space="preserve"> </w:t>
      </w:r>
      <w:r>
        <w:t xml:space="preserve">(EEV) é o lucro esperado obtido quando a decisão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E</m:t>
            </m:r>
            <m:r>
              <m:t>V</m:t>
            </m:r>
          </m:sup>
        </m:sSup>
      </m:oMath>
      <w:r>
        <w:t xml:space="preserve"> </w:t>
      </w:r>
      <w:r>
        <w:t xml:space="preserve">é aplicada aos cenários originais, dado pela Equação (3.33):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t>E</m:t>
                        </m:r>
                        <m:r>
                          <m:t>V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(3.33)</w:t>
            </w:r>
          </w:p>
        </w:tc>
      </w:tr>
    </w:tbl>
    <w:p>
      <w:pPr>
        <w:pStyle w:val="FirstParagraph"/>
      </w:pPr>
      <w:r>
        <w:t xml:space="preserve">A partir dessas quantidades, os indicadores são dados pelas Equações (3.34) e (3.35):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P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(3.34)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V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(3.35)</w:t>
            </w:r>
          </w:p>
        </w:tc>
      </w:tr>
    </w:tbl>
    <w:p>
      <w:pPr>
        <w:pStyle w:val="FirstParagraph"/>
      </w:pPr>
      <w:r>
        <w:t xml:space="preserve">Como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E</m:t>
            </m:r>
            <m:r>
              <m:t>V</m:t>
            </m:r>
          </m:sup>
        </m:sSup>
      </m:oMath>
      <w:r>
        <w:t xml:space="preserve"> </w:t>
      </w:r>
      <w:r>
        <w:t xml:space="preserve">é uma decisão admissível para o problema estocástico, e como o agente com informação perfeita pode, em particular, repetir a decisão estocástica em todos os cenários, vale a relação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≤</m:t>
        </m:r>
        <m:r>
          <m:rPr>
            <m:sty m:val="p"/>
          </m:rPr>
          <m:t>R</m:t>
        </m:r>
        <m:r>
          <m:rPr>
            <m:sty m:val="p"/>
          </m:rPr>
          <m:t>P</m:t>
        </m:r>
        <m:r>
          <m:rPr>
            <m:sty m:val="p"/>
          </m:rPr>
          <m:t>≤</m:t>
        </m:r>
        <m:r>
          <m:rPr>
            <m:sty m:val="p"/>
          </m:rPr>
          <m:t>W</m:t>
        </m:r>
        <m:r>
          <m:rPr>
            <m:sty m:val="p"/>
          </m:rPr>
          <m:t>S</m:t>
        </m:r>
      </m:oMath>
      <w:r>
        <w:t xml:space="preserve">, de modo que ambos os indicadores são não negativos. Um VSS reduzido indica que o modelo determinístico baseado no cenário médio já conduz a uma boa decisão de contratação; um EVPI reduzido indica que a incerteza modelada tem pouco impacto sobre o lucro alcançável, e que, portanto, haveria pouco a ganhar com previsões mais precisas.</w:t>
      </w:r>
    </w:p>
    <w:p>
      <w:pPr>
        <w:pStyle w:val="BodyText"/>
      </w:pPr>
      <w:r>
        <w:t xml:space="preserve">O cenário médio</w:t>
      </w:r>
      <w:r>
        <w:t xml:space="preserve"> </w:t>
      </w:r>
      <m:oMath>
        <m:acc>
          <m:accPr>
            <m:chr m:val="‾"/>
          </m:accPr>
          <m:e>
            <m:r>
              <m:t>ξ</m:t>
            </m:r>
          </m:e>
        </m:acc>
      </m:oMath>
      <w:r>
        <w:t xml:space="preserve"> </w:t>
      </w:r>
      <w:r>
        <w:t xml:space="preserve">é construído pela média hora a hora das séries dos cinco anos, alinhadas por mês, dia e hora, com a exclusão do dia 29 de fevereiro de 2024: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λ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S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s</m:t>
                </m:r>
              </m:sub>
            </m:sSub>
          </m:e>
        </m:nary>
        <m:r>
          <m:t> 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t> </m:t>
        </m:r>
        <m:sSub>
          <m:e>
            <m:r>
              <m:t>λ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para o PLD corrigido e, analogamente, para o fator de capacidade FV. O perfil de despacho do ONS do cenário médio é obtido pela mesma regra da Seção 3.7.2, aplicada a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λ</m:t>
                </m:r>
              </m:e>
            </m:acc>
          </m:e>
          <m:sub>
            <m:r>
              <m:t>t</m:t>
            </m:r>
          </m:sub>
        </m:sSub>
      </m:oMath>
      <w:r>
        <w:t xml:space="preserve">. Destaca-se que o valor ótimo do problema EV não é utilizado como estimativa do lucro: a média hora a hora suaviza os picos e vales de preço e de irradiância e tende a distorcer o lucro operacional. O problema EV serve apenas para gerar a decisão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E</m:t>
            </m:r>
            <m:r>
              <m:t>V</m:t>
            </m:r>
          </m:sup>
        </m:sSup>
      </m:oMath>
      <w:r>
        <w:t xml:space="preserve">, cujo desempenho é avaliado pelo EEV.</w:t>
      </w:r>
    </w:p>
    <w:p>
      <w:pPr>
        <w:pStyle w:val="BodyText"/>
      </w:pPr>
      <w:r>
        <w:t xml:space="preserve">O cálculo segue as etapas abaixo: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RP:</w:t>
      </w:r>
      <w:r>
        <w:t xml:space="preserve"> </w:t>
      </w:r>
      <w:r>
        <w:t xml:space="preserve">resolve-se o problema estocástico com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pelo método da Seção 3.7.3;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WS:</w:t>
      </w:r>
      <w:r>
        <w:t xml:space="preserve"> </w:t>
      </w:r>
      <w:r>
        <w:t xml:space="preserve">resolve-se, para cada cenário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isoladamente, o problema determinístico anual pelo mesmo método, e calcula-se a média ponderada dos valores ótimos;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 e EEV:</w:t>
      </w:r>
      <w:r>
        <w:t xml:space="preserve"> </w:t>
      </w:r>
      <w:r>
        <w:t xml:space="preserve">resolve-se o problema anual com o cenário médio para obter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E</m:t>
            </m:r>
            <m:r>
              <m:t>V</m:t>
            </m:r>
          </m:sup>
        </m:sSup>
      </m:oMath>
      <w:r>
        <w:t xml:space="preserve">; em seguida, fixa-se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E</m:t>
            </m:r>
            <m:r>
              <m:t>V</m:t>
            </m:r>
          </m:sup>
        </m:sSup>
      </m:oMath>
      <w:r>
        <w:t xml:space="preserve"> </w:t>
      </w:r>
      <w:r>
        <w:t xml:space="preserve">e resolvem-se os subproblemas de todos os pares (cenário, bloco), o que fornece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E</m:t>
            </m:r>
            <m:r>
              <m:t>V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e, pela Equação (3.33), o EEV.</w:t>
      </w:r>
    </w:p>
    <w:p>
      <w:pPr>
        <w:pStyle w:val="FirstParagraph"/>
      </w:pPr>
      <w:r>
        <w:t xml:space="preserve">Como RP e WS são obtidos com uma tolerância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 convergência, adotada como 0,01% nesta etapa, cada um é conhecido por um intervalo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t>B</m:t>
        </m:r>
        <m:r>
          <m:rPr>
            <m:sty m:val="p"/>
          </m:rPr>
          <m:t>,</m:t>
        </m:r>
        <m:r>
          <m:t>U</m:t>
        </m:r>
        <m:r>
          <m:t>B</m:t>
        </m:r>
        <m:r>
          <m:rPr>
            <m:sty m:val="p"/>
          </m:rPr>
          <m:t>]</m:t>
        </m:r>
      </m:oMath>
      <w:r>
        <w:t xml:space="preserve">. Os indicadores são, então, reportados com os respectivos limites: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</m:e>
          <m:sup>
            <m:r>
              <m:t>L</m:t>
            </m:r>
            <m:r>
              <m:t>B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</m:e>
          <m:sup>
            <m:r>
              <m:t>U</m:t>
            </m:r>
            <m:r>
              <m:t>B</m:t>
            </m:r>
          </m:sup>
        </m:sSup>
        <m:r>
          <m:rPr>
            <m:sty m:val="p"/>
          </m:rPr>
          <m:t>,</m:t>
        </m:r>
        <m:r>
          <m:t> </m:t>
        </m:r>
        <m:sSup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</m:e>
          <m:sup>
            <m:r>
              <m:t>U</m:t>
            </m:r>
            <m:r>
              <m:t>B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</m:e>
          <m:sup>
            <m:r>
              <m:t>L</m:t>
            </m:r>
            <m:r>
              <m:t>B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</m:e>
          <m:sup>
            <m:r>
              <m:t>L</m:t>
            </m:r>
            <m:r>
              <m:t>B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t> </m:t>
        </m:r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</m:e>
          <m:sup>
            <m:r>
              <m:t>U</m:t>
            </m:r>
            <m:r>
              <m:t>B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]</m:t>
        </m:r>
      </m:oMath>
      <w:r>
        <w:t xml:space="preserve">. Diferenças inferiores à ordem de</w:t>
      </w:r>
      <w:r>
        <w:t xml:space="preserve"> </w:t>
      </w:r>
      <m:oMath>
        <m:r>
          <m:t>ε</m:t>
        </m:r>
        <m:r>
          <m:rPr>
            <m:sty m:val="p"/>
          </m:rPr>
          <m:t>⋅</m:t>
        </m:r>
        <m:r>
          <m:rPr>
            <m:sty m:val="p"/>
          </m:rPr>
          <m:t>R</m:t>
        </m:r>
        <m:r>
          <m:rPr>
            <m:sty m:val="p"/>
          </m:rPr>
          <m:t>P</m:t>
        </m:r>
      </m:oMath>
      <w:r>
        <w:t xml:space="preserve"> </w:t>
      </w:r>
      <w:r>
        <w:t xml:space="preserve">não são distinguíveis do erro de convergência e devem ser interpretadas como nulas.</w:t>
      </w:r>
    </w:p>
    <w:bookmarkEnd w:id="35"/>
    <w:bookmarkEnd w:id="36"/>
    <w:bookmarkStart w:id="41" w:name="X1be5cdf3d160ac75d13eea8d7b66bea13b76fa0"/>
    <w:p>
      <w:pPr>
        <w:pStyle w:val="Heading2"/>
      </w:pPr>
      <w:r>
        <w:t xml:space="preserve">3.8 Curva de oferta e análises de sensibilidade</w:t>
      </w:r>
    </w:p>
    <w:p>
      <w:pPr>
        <w:pStyle w:val="FirstParagraph"/>
      </w:pPr>
      <w:r>
        <w:t xml:space="preserve">As Seções 3.4 a 3.7 tratam a receita fixa</w:t>
      </w:r>
      <w:r>
        <w:t xml:space="preserve"> </w:t>
      </w:r>
      <m:oMath>
        <m:sSup>
          <m:e>
            <m:r>
              <m:t>R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como parâmetro e determinam a potência ótima correspondente. No leilão, contudo,</w:t>
      </w:r>
      <w:r>
        <w:t xml:space="preserve"> </w:t>
      </w:r>
      <m:oMath>
        <m:sSup>
          <m:e>
            <m:r>
              <m:t>R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não é um dado: é o preço ofertado pelo próprio empreendedor, e a informação de que ele necessita é a relação entre esse preço e a potência que vale a pena comprometer. Esta seção apresenta o procedimento utilizado para obter essa relação — a curva de oferta — e os casos de sensibilidade avaliados com ele.</w:t>
      </w:r>
    </w:p>
    <w:bookmarkStart w:id="37" w:name="custo-de-oportunidade-e-curva-de-oferta"/>
    <w:p>
      <w:pPr>
        <w:pStyle w:val="Heading3"/>
      </w:pPr>
      <w:r>
        <w:t xml:space="preserve">3.8.1 Custo de oportunidade e curva de oferta</w:t>
      </w:r>
    </w:p>
    <w:p>
      <w:pPr>
        <w:pStyle w:val="FirstParagraph"/>
      </w:pPr>
      <w:r>
        <w:t xml:space="preserve">Seja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 lucro operacional esperado do empreendimento, sem a receita fixa do LRCAP, quando a potência contratada é</w:t>
      </w:r>
      <w:r>
        <w:t xml:space="preserve"> </w:t>
      </w:r>
      <m:oMath>
        <m:r>
          <m:t>P</m:t>
        </m:r>
      </m:oMath>
      <w:r>
        <w:t xml:space="preserve">, dado pela Equação (3.36) (na prática, calculado com</w:t>
      </w:r>
      <w:r>
        <w:t xml:space="preserve"> </w:t>
      </w:r>
      <m:oMath>
        <m:sSup>
          <m:e>
            <m:r>
              <m:t>R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Π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P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(3.36)</w:t>
            </w:r>
          </w:p>
        </w:tc>
      </w:tr>
    </w:tbl>
    <w:p>
      <w:pPr>
        <w:pStyle w:val="FirstParagraph"/>
      </w:pPr>
      <w:r>
        <w:t xml:space="preserve">A diferença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mede quanto lucro operacional o empreendedor deixa de obter — no MCP e na venda de hidrogênio — por comprometer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MW com o leilão, isto é, o custo de oportunidade da contratação. Seu valor por MW adicional,</w:t>
      </w:r>
      <w:r>
        <w:t xml:space="preserve"> </w:t>
      </w:r>
      <m:oMath>
        <m:sSup>
          <m:e>
            <m:r>
              <m:t>c</m:t>
            </m:r>
          </m:e>
          <m:sup>
            <m:r>
              <m:t>o</m:t>
            </m:r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t>P</m:t>
        </m:r>
      </m:oMath>
      <w:r>
        <w:t xml:space="preserve">, é o custo de oportunidade marginal. Como a decisão envolve uma única variável e o interesse está na curva inteira, e não apenas no seu máximo,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é avaliada numa grade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sSup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,</m:t>
        </m:r>
        <m:sSup>
          <m:e>
            <m:bar>
              <m:barPr>
                <m:pos m:val="bot"/>
              </m:barPr>
              <m:e>
                <m:r>
                  <m:t>P</m:t>
                </m:r>
              </m:e>
            </m:bar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c</m:t>
            </m:r>
            <m:r>
              <m:t>a</m:t>
            </m:r>
            <m:r>
              <m:t>p</m:t>
            </m:r>
          </m:sup>
        </m:sSup>
        <m:r>
          <m:rPr>
            <m:sty m:val="p"/>
          </m:rPr>
          <m:t>}</m:t>
        </m:r>
      </m:oMath>
      <w:r>
        <w:t xml:space="preserve">, com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MW, resolvendo-se para cada ponto os subproblemas de todos os pares (cenário, bloco) com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fixo. O custo de oportunidade marginal é aproximado pelas diferenças finitas da Equação (3.37):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c</m:t>
                    </m:r>
                  </m:e>
                  <m:sub>
                    <m:r>
                      <m:t>j</m:t>
                    </m:r>
                  </m:sub>
                  <m:sup>
                    <m:r>
                      <m:t>o</m:t>
                    </m:r>
                    <m:r>
                      <m:t>p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X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 </m:t>
                </m:r>
                <m:sSub>
                  <m:e>
                    <m:r>
                      <m:t>P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≥</m:t>
                </m:r>
                <m:sSup>
                  <m:e>
                    <m:bar>
                      <m:barPr>
                        <m:pos m:val="bot"/>
                      </m:barPr>
                      <m:e>
                        <m:r>
                          <m:t>P</m:t>
                        </m:r>
                      </m:e>
                    </m:ba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(3.37)</w:t>
            </w:r>
          </w:p>
        </w:tc>
      </w:tr>
    </w:tbl>
    <w:p>
      <w:pPr>
        <w:pStyle w:val="FirstParagraph"/>
      </w:pPr>
      <w:r>
        <w:t xml:space="preserve">Para uma receita fixa</w:t>
      </w:r>
      <w:r>
        <w:t xml:space="preserve"> </w:t>
      </w:r>
      <m:oMath>
        <m:r>
          <m:t>R</m:t>
        </m:r>
      </m:oMath>
      <w:r>
        <w:t xml:space="preserve">, a potência ótima a ofertar é dada pela Equação (3.38), e o conjunto de pares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constitui a curva de oferta do empreendedor: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P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lim>
                </m:limLow>
                <m:r>
                  <m:t> </m:t>
                </m:r>
                <m:r>
                  <m:t>R</m:t>
                </m:r>
                <m:r>
                  <m:t> 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(3.38)</w:t>
            </w:r>
          </w:p>
        </w:tc>
      </w:tr>
    </w:tbl>
    <w:p>
      <w:pPr>
        <w:pStyle w:val="FirstParagraph"/>
      </w:pPr>
      <w:r>
        <w:t xml:space="preserve">Dois valores resumem a curva. A receita mínima de entrada,</w:t>
      </w:r>
      <w:r>
        <w:t xml:space="preserve"> </w:t>
      </w:r>
      <m:oMath>
        <m:sSup>
          <m:e>
            <m:r>
              <m:t>R</m:t>
            </m:r>
          </m:e>
          <m:sup>
            <m:r>
              <m:t>e</m:t>
            </m:r>
            <m:r>
              <m:t>n</m:t>
            </m:r>
            <m:r>
              <m:t>t</m:t>
            </m:r>
          </m:sup>
        </m:sSup>
      </m:oMath>
      <w:r>
        <w:t xml:space="preserve">, é a menor receita fixa para a qual participar do leilão é preferível a não participar, conforme a Equação (3.39); a receita de oferta integral,</w:t>
      </w:r>
      <w:r>
        <w:t xml:space="preserve"> </w:t>
      </w:r>
      <m:oMath>
        <m:sSup>
          <m:e>
            <m:r>
              <m:t>R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 é a menor receita para a qual ofertar a potência máxima supera qualquer alternativa, conforme a Equação (3.40):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e</m:t>
                    </m:r>
                    <m:r>
                      <m:t>n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lim>
                </m:limLow>
                <m:r>
                  <m:t> 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</m:den>
                </m:f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(3.39)</w:t>
            </w:r>
          </w:p>
        </w:tc>
      </w:tr>
    </w:tbl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i</m:t>
                    </m:r>
                    <m:r>
                      <m:t>n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</m:lim>
                </m:limLow>
                <m:r>
                  <m:t> 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  <m:sup>
                        <m:r>
                          <m:t>c</m:t>
                        </m:r>
                        <m:r>
                          <m:t>a</m:t>
                        </m:r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den>
                </m:f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(3.40)</w:t>
            </w:r>
          </w:p>
        </w:tc>
      </w:tr>
    </w:tbl>
    <w:p>
      <w:pPr>
        <w:pStyle w:val="FirstParagraph"/>
      </w:pPr>
      <w:r>
        <w:t xml:space="preserve">A curva de oferta não depende do formato do leilão nem do comportamento dos demais proponentes: ela indica, para cada preço, quanta potência o empreendedor estaria disposto a comprometer. Ressalta-se que o investimento no BESS não entra em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pois as capacidades instaladas são fixas. Esse custo não altera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quando o BESS já existe, mas altera a decisão quando ele ainda será construído, situação tratada na Seção 3.8.4.</w:t>
      </w:r>
    </w:p>
    <w:bookmarkEnd w:id="37"/>
    <w:bookmarkStart w:id="38" w:name="frequência-do-despacho-do-ons"/>
    <w:p>
      <w:pPr>
        <w:pStyle w:val="Heading3"/>
      </w:pPr>
      <w:r>
        <w:t xml:space="preserve">3.8.2 Frequência do despacho do ONS</w:t>
      </w:r>
    </w:p>
    <w:p>
      <w:pPr>
        <w:pStyle w:val="FirstParagraph"/>
      </w:pPr>
      <w:r>
        <w:t xml:space="preserve">A frequência com que o ONS acionará os sistemas de armazenamento contratados no LRCAP é desconhecida, e o perfil das Seções 3.5 e 3.7.2 adota a hipótese mais intensa, com um ciclo completo por dia. Para avaliar essa hipótese, o modelo admite um número</w:t>
      </w:r>
      <w:r>
        <w:t xml:space="preserve"> </w:t>
      </w:r>
      <m:oMath>
        <m:sSup>
          <m:e>
            <m:r>
              <m:t>N</m:t>
            </m:r>
          </m:e>
          <m:sup>
            <m:r>
              <m:t>o</m:t>
            </m:r>
            <m:r>
              <m:t>n</m:t>
            </m:r>
            <m:r>
              <m:t>s</m:t>
            </m:r>
          </m:sup>
        </m:sSup>
      </m:oMath>
      <w:r>
        <w:t xml:space="preserve"> </w:t>
      </w:r>
      <w:r>
        <w:t xml:space="preserve">de despachos por ano. Na ausência de informação sobre o critério do ONS, adota-se como critério o próprio PLD, indicador de quão apertado está o sistema: em cada ano civil, são despachados apenas os</w:t>
      </w:r>
      <w:r>
        <w:t xml:space="preserve"> </w:t>
      </w:r>
      <m:oMath>
        <m:sSup>
          <m:e>
            <m:r>
              <m:t>N</m:t>
            </m:r>
          </m:e>
          <m:sup>
            <m:r>
              <m:t>o</m:t>
            </m:r>
            <m:r>
              <m:t>n</m:t>
            </m:r>
            <m:r>
              <m:t>s</m:t>
            </m:r>
          </m:sup>
        </m:sSup>
      </m:oMath>
      <w:r>
        <w:t xml:space="preserve"> </w:t>
      </w:r>
      <w:r>
        <w:t xml:space="preserve">dias com maior PLD médio no período de descarga — o bloco de</w:t>
      </w:r>
      <w:r>
        <w:t xml:space="preserve"> </w:t>
      </w:r>
      <m:oMath>
        <m:sSup>
          <m:e>
            <m:r>
              <m:t>H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horas de maior preço após o período solar, no perfil baseado em preço, ou as horas de descarga fixas, no perfil fixo. A seleção é feita sobre o ano inteiro, de modo que a decomposição em blocos semanais não a altera. Dias com PLD igual, situação frequente em anos com o PLD no piso, são selecionados por uma sequência de baixa discrepância sobre o dia do ano, o que os distribui uniformemente ao longo do ano em vez de concentrá-los nos primeiros dias. Nos dias sem despacho, o módulo LRCAP permanece carregado e não há recarga.</w:t>
      </w:r>
    </w:p>
    <w:p>
      <w:pPr>
        <w:pStyle w:val="BodyText"/>
      </w:pPr>
      <w:r>
        <w:t xml:space="preserve">Como a receita fixa independe da energia despachada e, com os parâmetros da Tabela 3.1,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, o despacho afeta o lucro do empreendedor apenas por meio do custo de degradação do módulo LRCAP e do limite do ponto de conexão compartilhado. Se o efeito sobre a conexão for desprezível, o custo associado ao despacho é linear em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, conforme a Equação (3.41):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C</m:t>
                    </m:r>
                  </m:e>
                  <m:sup>
                    <m:r>
                      <m:t>o</m:t>
                    </m:r>
                    <m:r>
                      <m:t>n</m:t>
                    </m:r>
                    <m:r>
                      <m:t>s</m:t>
                    </m:r>
                  </m:sup>
                </m:sSup>
                <m:r>
                  <m:rPr>
                    <m:sty m:val="p"/>
                  </m:rPr>
                  <m:t>(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sSup>
                  <m:e>
                    <m:r>
                      <m:t>c</m:t>
                    </m:r>
                  </m:e>
                  <m:sup>
                    <m:r>
                      <m:t>d</m:t>
                    </m:r>
                    <m:r>
                      <m:t>e</m:t>
                    </m:r>
                    <m:r>
                      <m:t>g</m:t>
                    </m:r>
                  </m:sup>
                </m:sSup>
                <m:r>
                  <m:t> </m:t>
                </m:r>
                <m:sSup>
                  <m:e>
                    <m:r>
                      <m:t>H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  <m:r>
                  <m:t> </m:t>
                </m:r>
                <m:sSup>
                  <m:e>
                    <m:r>
                      <m:t>N</m:t>
                    </m:r>
                  </m:e>
                  <m:sup>
                    <m:r>
                      <m:t>o</m:t>
                    </m:r>
                    <m:r>
                      <m:t>n</m:t>
                    </m:r>
                    <m:r>
                      <m:t>s</m:t>
                    </m:r>
                  </m:sup>
                </m:sSup>
                <m:r>
                  <m:t> </m:t>
                </m:r>
                <m:sSup>
                  <m:e>
                    <m:r>
                      <m:t>P</m:t>
                    </m:r>
                  </m:e>
                  <m:sup>
                    <m:r>
                      <m:t>c</m:t>
                    </m:r>
                    <m:r>
                      <m:t>a</m:t>
                    </m:r>
                    <m:r>
                      <m:t>p</m:t>
                    </m:r>
                  </m:sup>
                </m:sSup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(3.41)</w:t>
            </w:r>
          </w:p>
        </w:tc>
      </w:tr>
    </w:tbl>
    <w:p>
      <w:pPr>
        <w:pStyle w:val="FirstParagraph"/>
      </w:pPr>
      <w:r>
        <w:t xml:space="preserve">e uma variação de</w:t>
      </w:r>
      <w:r>
        <w:t xml:space="preserve"> </w:t>
      </w:r>
      <m:oMath>
        <m:sSup>
          <m:e>
            <m:r>
              <m:t>N</m:t>
            </m:r>
          </m:e>
          <m:sup>
            <m:r>
              <m:t>o</m:t>
            </m:r>
            <m:r>
              <m:t>n</m:t>
            </m:r>
            <m:r>
              <m:t>s</m:t>
            </m:r>
          </m:sup>
        </m:sSup>
      </m:oMath>
      <w:r>
        <w:t xml:space="preserve"> </w:t>
      </w:r>
      <w:r>
        <w:t xml:space="preserve">desloca o custo de oportunidade marginal de um valor constante, sem alterar a operação do lado mercantil. As simulações com diferentes valores de</w:t>
      </w:r>
      <w:r>
        <w:t xml:space="preserve"> </w:t>
      </w:r>
      <m:oMath>
        <m:sSup>
          <m:e>
            <m:r>
              <m:t>N</m:t>
            </m:r>
          </m:e>
          <m:sup>
            <m:r>
              <m:t>o</m:t>
            </m:r>
            <m:r>
              <m:t>n</m:t>
            </m:r>
            <m:r>
              <m:t>s</m:t>
            </m:r>
          </m:sup>
        </m:sSup>
      </m:oMath>
      <w:r>
        <w:t xml:space="preserve"> </w:t>
      </w:r>
      <w:r>
        <w:t xml:space="preserve">permitem verificar essa aproximação.</w:t>
      </w:r>
    </w:p>
    <w:bookmarkEnd w:id="38"/>
    <w:bookmarkStart w:id="39" w:name="casos-avaliados"/>
    <w:p>
      <w:pPr>
        <w:pStyle w:val="Heading3"/>
      </w:pPr>
      <w:r>
        <w:t xml:space="preserve">3.8.3 Casos avaliados</w:t>
      </w:r>
    </w:p>
    <w:p>
      <w:pPr>
        <w:pStyle w:val="FirstParagraph"/>
      </w:pPr>
      <w:r>
        <w:t xml:space="preserve">A curva de oferta é construída para os cenários anuais da Seção 3.7.2, com o lucro esperado (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), nos casos do Quadro 3.2. Os casos variam as hipóteses que a análise do caso de referência indicou como determinantes para o custo de oportunidade: a existência de um limite de demanda de hidrogênio (Seção 3.4.5), a vedação à importação de energia da rede, a frequência do despacho do ONS, o custo de degradação do BESS e o dimensionamento do eletrolisador e do tanque de hidrogênio.</w:t>
      </w:r>
    </w:p>
    <w:p>
      <w:pPr>
        <w:pStyle w:val="Legenda"/>
      </w:pPr>
      <w:r>
        <w:t xml:space="preserve">Quadro 3.2 – Casos avaliados na construção da curva de oferta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376"/>
        <w:gridCol w:w="1742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Contrato de H₂</w:t>
            </w:r>
          </w:p>
        </w:tc>
        <w:tc>
          <w:tcPr/>
          <w:p>
            <w:pPr>
              <w:pStyle w:val="Compact"/>
            </w:pPr>
            <w:r>
              <w:t xml:space="preserve">Importação da rede</w:t>
            </w:r>
          </w:p>
        </w:tc>
        <w:tc>
          <w:tcPr/>
          <w:p>
            <w:pPr>
              <w:pStyle w:val="Compact"/>
            </w:pPr>
            <w:r>
              <w:t xml:space="preserve">Outras alterações em relação à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Sem limite de volume</w:t>
            </w:r>
          </w:p>
        </w:tc>
        <w:tc>
          <w:tcPr/>
          <w:p>
            <w:pPr>
              <w:pStyle w:val="Compact"/>
            </w:pPr>
            <w:r>
              <w:t xml:space="preserve">Vedada</w:t>
            </w:r>
          </w:p>
        </w:tc>
        <w:tc>
          <w:tcPr/>
          <w:p>
            <w:pPr>
              <w:pStyle w:val="Compact"/>
            </w:pPr>
            <w:r>
              <w:t xml:space="preserve">– (365 despachos/ano;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d</m:t>
                  </m:r>
                  <m:r>
                    <m:t>e</m:t>
                  </m:r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de R$ 50/MWh; eletrolisador de 17,5 MW; tanque de 2 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2 t/dia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2.000</m:t>
              </m:r>
            </m:oMath>
            <w:r>
              <w:t xml:space="preserve"> </w:t>
            </w:r>
            <w:r>
              <w:t xml:space="preserve">kg/dia</w:t>
            </w:r>
          </w:p>
        </w:tc>
        <w:tc>
          <w:tcPr/>
          <w:p>
            <w:pPr>
              <w:pStyle w:val="Compact"/>
            </w:pPr>
            <w:r>
              <w:t xml:space="preserve">Vedada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 3 t/dia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3.000</m:t>
              </m:r>
            </m:oMath>
            <w:r>
              <w:t xml:space="preserve"> </w:t>
            </w:r>
            <w:r>
              <w:t xml:space="preserve">kg/dia</w:t>
            </w:r>
          </w:p>
        </w:tc>
        <w:tc>
          <w:tcPr/>
          <w:p>
            <w:pPr>
              <w:pStyle w:val="Compact"/>
            </w:pPr>
            <w:r>
              <w:t xml:space="preserve">Vedada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</w:t>
            </w:r>
          </w:p>
        </w:tc>
        <w:tc>
          <w:tcPr/>
          <w:p>
            <w:pPr>
              <w:pStyle w:val="Compact"/>
            </w:pPr>
            <w:r>
              <w:t xml:space="preserve">Sem limite de volume</w:t>
            </w:r>
          </w:p>
        </w:tc>
        <w:tc>
          <w:tcPr/>
          <w:p>
            <w:pPr>
              <w:pStyle w:val="Compact"/>
            </w:pPr>
            <w:r>
              <w:t xml:space="preserve">Permitida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Importação e contrato 3 t/dia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3.000</m:t>
              </m:r>
            </m:oMath>
            <w:r>
              <w:t xml:space="preserve"> </w:t>
            </w:r>
            <w:r>
              <w:t xml:space="preserve">kg/dia</w:t>
            </w:r>
          </w:p>
        </w:tc>
        <w:tc>
          <w:tcPr/>
          <w:p>
            <w:pPr>
              <w:pStyle w:val="Compact"/>
            </w:pPr>
            <w:r>
              <w:t xml:space="preserve">Permitida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 do despacho</w:t>
            </w:r>
          </w:p>
        </w:tc>
        <w:tc>
          <w:tcPr/>
          <w:p>
            <w:pPr>
              <w:pStyle w:val="Compact"/>
            </w:pPr>
            <w:r>
              <w:t xml:space="preserve">Sem limite de volume</w:t>
            </w:r>
          </w:p>
        </w:tc>
        <w:tc>
          <w:tcPr/>
          <w:p>
            <w:pPr>
              <w:pStyle w:val="Compact"/>
            </w:pPr>
            <w:r>
              <w:t xml:space="preserve">Vedada</w:t>
            </w:r>
          </w:p>
        </w:tc>
        <w:tc>
          <w:tcPr/>
          <w:p>
            <w:pPr>
              <w:pStyle w:val="Compact"/>
            </w:pPr>
            <w:r>
              <w:t xml:space="preserve">50; 150 ou 365 despachos/ano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Degradação</w:t>
            </w:r>
          </w:p>
        </w:tc>
        <w:tc>
          <w:tcPr/>
          <w:p>
            <w:pPr>
              <w:pStyle w:val="Compact"/>
            </w:pPr>
            <w:r>
              <w:t xml:space="preserve">Sem limite de volume</w:t>
            </w:r>
          </w:p>
        </w:tc>
        <w:tc>
          <w:tcPr/>
          <w:p>
            <w:pPr>
              <w:pStyle w:val="Compact"/>
            </w:pPr>
            <w:r>
              <w:t xml:space="preserve">Vedada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c</m:t>
                  </m:r>
                </m:e>
                <m:sup>
                  <m:r>
                    <m:t>d</m:t>
                  </m:r>
                  <m:r>
                    <m:t>e</m:t>
                  </m:r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de R$ 100 ou 200/MWh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Eletrolisador</w:t>
            </w:r>
          </w:p>
        </w:tc>
        <w:tc>
          <w:tcPr/>
          <w:p>
            <w:pPr>
              <w:pStyle w:val="Compact"/>
            </w:pPr>
            <w:r>
              <w:t xml:space="preserve">Sem limite de volume</w:t>
            </w:r>
          </w:p>
        </w:tc>
        <w:tc>
          <w:tcPr/>
          <w:p>
            <w:pPr>
              <w:pStyle w:val="Compact"/>
            </w:pPr>
            <w:r>
              <w:t xml:space="preserve">Vedada</w:t>
            </w:r>
          </w:p>
        </w:tc>
        <w:tc>
          <w:tcPr/>
          <w:p>
            <w:pPr>
              <w:pStyle w:val="Compact"/>
            </w:pPr>
            <w:r>
              <w:t xml:space="preserve">Eletrolisador de 10 ou 25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Tanque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h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3.000</m:t>
              </m:r>
            </m:oMath>
            <w:r>
              <w:t xml:space="preserve"> </w:t>
            </w:r>
            <w:r>
              <w:t xml:space="preserve">kg/dia</w:t>
            </w:r>
          </w:p>
        </w:tc>
        <w:tc>
          <w:tcPr/>
          <w:p>
            <w:pPr>
              <w:pStyle w:val="Compact"/>
            </w:pPr>
            <w:r>
              <w:t xml:space="preserve">Vedada</w:t>
            </w:r>
          </w:p>
        </w:tc>
        <w:tc>
          <w:tcPr/>
          <w:p>
            <w:pPr>
              <w:pStyle w:val="Compact"/>
            </w:pPr>
            <w:r>
              <w:t xml:space="preserve">Tanque de 10 t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Nos casos com importação, o eletrolisador e o BESS mercantil podem ser supridos pela rede ao PLD acrescido de</w:t>
      </w:r>
      <w:r>
        <w:t xml:space="preserve"> </w:t>
      </w:r>
      <m:oMath>
        <m:sSup>
          <m:e>
            <m:r>
              <m:t>c</m:t>
            </m:r>
          </m:e>
          <m:sup>
            <m:r>
              <m:t>i</m:t>
            </m:r>
            <m:r>
              <m:t>m</m:t>
            </m:r>
            <m:r>
              <m:t>p</m:t>
            </m:r>
          </m:sup>
        </m:sSup>
      </m:oMath>
      <w:r>
        <w:t xml:space="preserve">. Essa configuração corresponde a um critério de qualificação do hidrogênio baseado na intensidade de emissões, e não na origem física da energia, e é avaliada como alternativa à hipótese de suprimento exclusivamente fotovoltaico. Para cada caso, além da curva de oferta, registram-se a potência ótima e a operação média nos cenários para a receita fixa de referência, de R$ 600 mil/(MW·ano).</w:t>
      </w:r>
    </w:p>
    <w:bookmarkEnd w:id="39"/>
    <w:bookmarkStart w:id="40" w:name="viabilidade-econômica-e-lance-mínimo"/>
    <w:p>
      <w:pPr>
        <w:pStyle w:val="Heading3"/>
      </w:pPr>
      <w:r>
        <w:t xml:space="preserve">3.8.4 Viabilidade econômica e lance mínimo</w:t>
      </w:r>
    </w:p>
    <w:p>
      <w:pPr>
        <w:pStyle w:val="FirstParagraph"/>
      </w:pPr>
      <w:r>
        <w:t xml:space="preserve">A viabilidade do empreendimento é avaliada pelo valor presente líquido (VPL) de um fluxo de caixa anual constante, em termos reais, ao longo do prazo do contrato do LRCAP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anos), sem valor residual, conforme a Equação (3.42):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o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num>
                  <m:den>
                    <m:r>
                      <m:t>i</m:t>
                    </m:r>
                  </m:den>
                </m:f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(3.42)</w:t>
            </w:r>
          </w:p>
        </w:tc>
      </w:tr>
    </w:tbl>
    <w:p>
      <w:pPr>
        <w:pStyle w:val="FirstParagraph"/>
      </w:pPr>
      <w:r>
        <w:t xml:space="preserve">em que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é o investimento total na usina FV, no BESS e no eletrolisador,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é o lucro operacional esperado na potência ótima para a receita fixa considerada (Seção 3.8.1),</w:t>
      </w:r>
      <w:r>
        <w:t xml:space="preserve"> </w:t>
      </w:r>
      <m:oMath>
        <m:sSup>
          <m:e>
            <m:r>
              <m:t>C</m:t>
            </m:r>
          </m:e>
          <m:sup>
            <m:r>
              <m:t>o</m:t>
            </m:r>
            <m:r>
              <m:t>m</m:t>
            </m:r>
          </m:sup>
        </m:sSup>
      </m:oMath>
      <w:r>
        <w:t xml:space="preserve"> </w:t>
      </w:r>
      <w:r>
        <w:t xml:space="preserve">é o custo anual de operação e manutenção fixo 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é o fator de valor presente de uma série uniforme à taxa real</w:t>
      </w:r>
      <w:r>
        <w:t xml:space="preserve"> </w:t>
      </w:r>
      <m:oMath>
        <m:r>
          <m:t>i</m:t>
        </m:r>
      </m:oMath>
      <w:r>
        <w:t xml:space="preserve">. A taxa interna de retorno (TIR) é a taxa para a qual o VPL é nulo. Os parâmetros adotados são apresentados no Quadro 3.3.</w:t>
      </w:r>
    </w:p>
    <w:p>
      <w:pPr>
        <w:pStyle w:val="Legenda"/>
      </w:pPr>
      <w:r>
        <w:t xml:space="preserve">Quadro 3.3 – Parâmetros da análise de viabilidade econômica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Valores (baixo; central; alto)</w:t>
            </w:r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Investimento na usina FV</w:t>
            </w:r>
          </w:p>
        </w:tc>
        <w:tc>
          <w:tcPr/>
          <w:p>
            <w:pPr>
              <w:pStyle w:val="Compact"/>
            </w:pPr>
            <w:r>
              <w:t xml:space="preserve">R$ 3.000; 4.250; 5.500/kW</w:t>
            </w:r>
          </w:p>
        </w:tc>
        <w:tc>
          <w:tcPr/>
          <w:p>
            <w:pPr>
              <w:pStyle w:val="Compact"/>
            </w:pPr>
            <w:r>
              <w:t xml:space="preserve">BRASIL; EPE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Investimento no BESS</w:t>
            </w:r>
          </w:p>
        </w:tc>
        <w:tc>
          <w:tcPr/>
          <w:p>
            <w:pPr>
              <w:pStyle w:val="Compact"/>
            </w:pPr>
            <w:r>
              <w:t xml:space="preserve">R$ 5.000; 5.500; 6.000/kW</w:t>
            </w:r>
          </w:p>
        </w:tc>
        <w:tc>
          <w:tcPr/>
          <w:p>
            <w:pPr>
              <w:pStyle w:val="Compact"/>
            </w:pPr>
            <w:r>
              <w:t xml:space="preserve">BRASIL; EPE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Investimento no eletrolisador</w:t>
            </w:r>
          </w:p>
        </w:tc>
        <w:tc>
          <w:tcPr/>
          <w:p>
            <w:pPr>
              <w:pStyle w:val="Compact"/>
            </w:pPr>
            <w:r>
              <w:t xml:space="preserve">US$ 1.100; 2.000; 2.500/kW</w:t>
            </w:r>
          </w:p>
        </w:tc>
        <w:tc>
          <w:tcPr/>
          <w:p>
            <w:pPr>
              <w:pStyle w:val="Compact"/>
            </w:pPr>
            <w:r>
              <w:t xml:space="preserve">IEA (2025): sistemas chineses de US$ 500 a 1.100/kW e demais de US$ 1.900 a 2.500/kW; convertidos pela PTAX de 09/12/2025 (R$ 5,4025/US$)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O&amp;M fixo anual</w:t>
            </w:r>
          </w:p>
        </w:tc>
        <w:tc>
          <w:tcPr/>
          <w:p>
            <w:pPr>
              <w:pStyle w:val="Compact"/>
            </w:pPr>
            <w:r>
              <w:t xml:space="preserve">1,5% (FV), 2,5% (BESS) e 3% (eletrolisador) do investimento</w:t>
            </w:r>
          </w:p>
        </w:tc>
        <w:tc>
          <w:tcPr/>
          <w:p>
            <w:pPr>
              <w:pStyle w:val="Compact"/>
            </w:pPr>
            <w:r>
              <w:t xml:space="preserve">Hipótese do autor; o O&amp;M variável do eletrolisador e a degradação do BESS já estão no modelo de 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desconto real</w:t>
            </w:r>
          </w:p>
        </w:tc>
        <w:tc>
          <w:tcPr/>
          <w:p>
            <w:pPr>
              <w:pStyle w:val="Compact"/>
            </w:pPr>
            <w:r>
              <w:t xml:space="preserve">8,0% e 12,1% ao ano</w:t>
            </w:r>
          </w:p>
        </w:tc>
        <w:tc>
          <w:tcPr/>
          <w:p>
            <w:pPr>
              <w:pStyle w:val="Compact"/>
            </w:pPr>
            <w:r>
              <w:t xml:space="preserve">ANEEL (2026): custo de capital regulatório da geração, após e antes de impostos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15 anos, sem valor residual</w:t>
            </w:r>
          </w:p>
        </w:tc>
        <w:tc>
          <w:tcPr/>
          <w:p>
            <w:pPr>
              <w:pStyle w:val="Compact"/>
            </w:pPr>
            <w:r>
              <w:t xml:space="preserve">Prazo do contrato do LRCAP</w:t>
            </w:r>
          </w:p>
        </w:tc>
      </w:tr>
    </w:tbl>
    <w:p>
      <w:pPr>
        <w:pStyle w:val="Fonte"/>
      </w:pPr>
      <w:r>
        <w:t xml:space="preserve">Fonte: elaborado pelo autor.</w:t>
      </w:r>
    </w:p>
    <w:p>
      <w:pPr>
        <w:pStyle w:val="BodyText"/>
      </w:pPr>
      <w:r>
        <w:t xml:space="preserve">Como o lucro operacional não considera tributos sobre a renda, o VPL calculado com a taxa após impostos é otimista; a taxa antes de impostos fornece uma avaliação mais conservadora. A partir do VPL, calcula-se ainda o preço de equilíbrio do hidrogênio,</w:t>
      </w:r>
      <w:r>
        <w:t xml:space="preserve"> </w:t>
      </w:r>
      <m:oMath>
        <m:sSup>
          <m:e>
            <m:r>
              <m:t>π</m:t>
            </m:r>
          </m:e>
          <m:sup>
            <m:r>
              <m:t>h</m:t>
            </m:r>
            <m:r>
              <m:t>2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h</m:t>
            </m:r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V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)</m:t>
        </m:r>
      </m:oMath>
      <w:r>
        <w:t xml:space="preserve">, em que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é a quantidade anual de hidrogênio vendida. Essa expressão mantém a operação fixa e, portanto, superestima ligeiramente o preço de equilíbrio, pois um preço maior levaria a uma produção maior.</w:t>
      </w:r>
    </w:p>
    <w:p>
      <w:pPr>
        <w:pStyle w:val="BodyText"/>
      </w:pPr>
      <w:r>
        <w:t xml:space="preserve">Para isolar a contribuição da bateria, o modelo é resolvido também sem o BESS e, consequentemente, sem participação no leilão, o que fornece o lucro operacional</w:t>
      </w:r>
      <w:r>
        <w:t xml:space="preserve"> </w:t>
      </w:r>
      <m:oMath>
        <m:sSup>
          <m:e>
            <m:r>
              <m:rPr>
                <m:sty m:val="p"/>
              </m:rPr>
              <m:t>Π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da usina FV com o eletrolisador. Quando o BESS ainda será construído, o proponente compara, para cada receita fixa</w:t>
      </w:r>
      <w:r>
        <w:t xml:space="preserve"> </w:t>
      </w:r>
      <m:oMath>
        <m:r>
          <m:t>R</m:t>
        </m:r>
      </m:oMath>
      <w:r>
        <w:t xml:space="preserve">, a alternativa de não construí-lo com a de construí-lo e contratar a melhor potência, deduzido o custo anual equivalente do BESS,</w:t>
      </w:r>
      <w:r>
        <w:t xml:space="preserve"> </w:t>
      </w:r>
      <m:oMath>
        <m:sSup>
          <m:e>
            <m:r>
              <m:t>C</m:t>
            </m:r>
          </m:e>
          <m:sup>
            <m:r>
              <m:t>b</m:t>
            </m:r>
            <m:r>
              <m:t>e</m:t>
            </m:r>
            <m:r>
              <m:t>s</m:t>
            </m:r>
            <m:r>
              <m:t>s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b</m:t>
            </m:r>
            <m:r>
              <m:t>e</m:t>
            </m:r>
            <m:r>
              <m:t>s</m:t>
            </m:r>
            <m:r>
              <m:t>s</m:t>
            </m:r>
          </m:sup>
        </m:sSup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o</m:t>
            </m:r>
            <m:r>
              <m:t>m</m:t>
            </m:r>
            <m:r>
              <m:rPr>
                <m:sty m:val="p"/>
              </m:rPr>
              <m:t>,</m:t>
            </m:r>
            <m:r>
              <m:t>b</m:t>
            </m:r>
            <m:r>
              <m:t>e</m:t>
            </m:r>
            <m:r>
              <m:t>s</m:t>
            </m:r>
            <m:r>
              <m:t>s</m:t>
            </m:r>
          </m:sup>
        </m:sSup>
      </m:oMath>
      <w:r>
        <w:t xml:space="preserve">. A potência ofertada passa a ser dada pela Equação (3.43):</w:t>
      </w:r>
    </w:p>
    <w:tbl>
      <w:tblPr>
        <w:tblW w:w="90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071"/>
        <w:gridCol w:w="1000"/>
      </w:tblGrid>
      <w:tr>
        <w:tc>
          <w:tcPr>
            <w:tcW w:w="8071" w:type="dxa"/>
            <w:vAlign w:val="center"/>
          </w:tcPr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  <m:r>
                      <m:t>n</m:t>
                    </m:r>
                    <m:r>
                      <m:t>v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arg</m:t>
                          </m:r>
                          <m:limLow>
                            <m:e>
                              <m:r>
                                <m:rPr>
                                  <m:sty m:val="p"/>
                                </m:rPr>
                                <m:t>max</m:t>
                              </m:r>
                            </m:e>
                            <m:lim>
                              <m: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  <m:sub>
                                  <m:r>
                                    <m:t>h</m:t>
                                  </m:r>
                                </m:sub>
                              </m:sSub>
                            </m:lim>
                          </m:limLow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R</m:t>
                              </m:r>
                              <m: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nor/>
                            </m:rPr>
                            <m:t>se </m:t>
                          </m:r>
                          <m:limLow>
                            <m:e>
                              <m:r>
                                <m:rPr>
                                  <m:sty m:val="p"/>
                                </m:rPr>
                                <m:t>max</m:t>
                              </m:r>
                            </m:e>
                            <m:lim>
                              <m: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  <m:sub>
                                  <m:r>
                                    <m:t>h</m:t>
                                  </m:r>
                                </m:sub>
                              </m:sSub>
                            </m:lim>
                          </m:limLow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R</m:t>
                              </m:r>
                              <m: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b</m:t>
                              </m:r>
                              <m:r>
                                <m:t>e</m:t>
                              </m:r>
                              <m:r>
                                <m:t>s</m:t>
                              </m:r>
                              <m:r>
                                <m:t>s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&gt;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Π</m:t>
                              </m:r>
                            </m:e>
                            <m:sup>
                              <m:r>
                                <m:t>0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nor/>
                            </m:rPr>
                            <m:t>caso contrário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000" w:type="dxa"/>
            <w:vAlign w:val="center"/>
          </w:tcPr>
          <w:p>
            <w:pPr>
              <w:pStyle w:val="NumeroEquacao"/>
            </w:pPr>
            <w:r>
              <w:t>(3.43)</w:t>
            </w:r>
          </w:p>
        </w:tc>
      </w:tr>
    </w:tbl>
    <w:p>
      <w:pPr>
        <w:pStyle w:val="FirstParagraph"/>
      </w:pPr>
      <w:r>
        <w:t xml:space="preserve">O lance mínimo,</w:t>
      </w:r>
      <w:r>
        <w:t xml:space="preserve"> </w:t>
      </w:r>
      <m:oMath>
        <m:sSup>
          <m:e>
            <m:r>
              <m:t>R</m:t>
            </m:r>
          </m:e>
          <m:sup>
            <m:r>
              <m:t>m</m:t>
            </m:r>
            <m:r>
              <m:t>i</m:t>
            </m:r>
            <m:r>
              <m:t>n</m:t>
            </m:r>
          </m:sup>
        </m:sSup>
      </m:oMath>
      <w:r>
        <w:t xml:space="preserve">, é a menor receita fixa para a qual a construção do BESS é vantajosa, isto é, o menor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para o qual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v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Ele é calculado para as três faixas de investimento e para as duas taxas de desconto do Quadro 3.3.</w:t>
      </w:r>
    </w:p>
    <w:bookmarkEnd w:id="40"/>
    <w:bookmarkEnd w:id="41"/>
    <w:bookmarkStart w:id="42" w:name="implementação-computacional"/>
    <w:p>
      <w:pPr>
        <w:pStyle w:val="Heading2"/>
      </w:pPr>
      <w:r>
        <w:t xml:space="preserve">3.9 Implementação computacional</w:t>
      </w:r>
    </w:p>
    <w:p>
      <w:pPr>
        <w:pStyle w:val="FirstParagraph"/>
      </w:pPr>
      <w:r>
        <w:t xml:space="preserve">O modelo foi implementado na linguagem Python, com o uso da biblioteca de modelagem algébrica Pyomo (BYNUM</w:t>
      </w:r>
      <w:r>
        <w:t xml:space="preserve"> </w:t>
      </w:r>
      <w:r>
        <w:rPr>
          <w:i/>
          <w:iCs/>
        </w:rPr>
        <w:t xml:space="preserve">et al.</w:t>
      </w:r>
      <w:r>
        <w:t xml:space="preserve">, 2021) e do</w:t>
      </w:r>
      <w:r>
        <w:t xml:space="preserve"> </w:t>
      </w:r>
      <w:r>
        <w:rPr>
          <w:i/>
          <w:iCs/>
        </w:rPr>
        <w:t xml:space="preserve">solver</w:t>
      </w:r>
      <w:r>
        <w:t xml:space="preserve"> </w:t>
      </w:r>
      <w:r>
        <w:t xml:space="preserve">HiGHS (HUANGFU; HALL, 2018). A estrutura do código separa: (i) a leitura e validação dos parâmetros, organizados em arquivos de configuração em formato YAML, com verificação automática dos requisitos regulatórios; (ii) a importação e o tratamento das séries de dados; (iii) a construção do modelo de otimização; (iv) a decomposição de Benders, nas versões determinística e estocástica; (v) o cálculo do VSS e do EVPI; (vi) a construção da curva de oferta; (vii) a análise de viabilidade econômica e do lance mínimo; e (viii) o pós-processamento dos resultados. Os subproblemas semanais são resolvidos em paralelo em processos independentes, cada qual restrito a uma linha de execução do</w:t>
      </w:r>
      <w:r>
        <w:t xml:space="preserve"> </w:t>
      </w:r>
      <w:r>
        <w:rPr>
          <w:i/>
          <w:iCs/>
        </w:rPr>
        <w:t xml:space="preserve">solver</w:t>
      </w:r>
      <w:r>
        <w:t xml:space="preserve">, a fim de evitar a concorrência por núcleos de processamento. A consistência do modelo é verificada por um conjunto de testes automatizados que conferem, entre outros aspectos, o balanço de potência, os limites dos estados de carga, a exclusividade entre carga e descarga, o cumprimento do despacho do ONS e a seleção dos dias de despacho, o limite do ponto de conexão, as entregas do contrato de hidrogênio e a validade dos cortes de Benders. O código e os dados são mantidos sob controle de versão, o que assegura a reprodutibilidade dos resultados.</w:t>
      </w:r>
    </w:p>
    <w:bookmarkEnd w:id="42"/>
    <w:bookmarkStart w:id="43" w:name="hipóteses-e-limitações"/>
    <w:p>
      <w:pPr>
        <w:pStyle w:val="Heading2"/>
      </w:pPr>
      <w:r>
        <w:t xml:space="preserve">3.10 Hipóteses e limitações</w:t>
      </w:r>
    </w:p>
    <w:p>
      <w:pPr>
        <w:pStyle w:val="FirstParagraph"/>
      </w:pPr>
      <w:r>
        <w:t xml:space="preserve">As principais hipóteses adotadas, e as respectivas implicações, são as seguintes: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previsão perfeita dentro de cada ano:</w:t>
      </w:r>
      <w:r>
        <w:t xml:space="preserve"> </w:t>
      </w:r>
      <w:r>
        <w:t xml:space="preserve">mesmo na extensão estocástica, a operação de cada cenário é otimizada com conhecimento antecipado das séries daquele ano, o que tende a superestimar o lucro alcançável na operação real. A incerteza tratada pela Seção 3.7 é apenas a variação entre anos; a incerteza do despacho do ONS, cujo risco é alocado ao empreendedor pela Portaria, é representada somente pela regra de despacho baseada no PLD e pela sensibilidade ao número de despachos por ano (Seção 3.8.2), que supõe despachos completos, de</w:t>
      </w:r>
      <w:r>
        <w:t xml:space="preserve"> </w:t>
      </w:r>
      <m:oMath>
        <m:sSup>
          <m:e>
            <m:r>
              <m:t>H</m:t>
            </m:r>
          </m:e>
          <m:sup>
            <m:r>
              <m:t>c</m:t>
            </m:r>
            <m:r>
              <m:t>a</m:t>
            </m:r>
            <m:r>
              <m:t>p</m:t>
            </m:r>
          </m:sup>
        </m:sSup>
      </m:oMath>
      <w:r>
        <w:t xml:space="preserve"> </w:t>
      </w:r>
      <w:r>
        <w:t xml:space="preserve">horas na potência contratada, nos dias de maior PLD;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agente tomador de preço:</w:t>
      </w:r>
      <w:r>
        <w:t xml:space="preserve"> </w:t>
      </w:r>
      <w:r>
        <w:t xml:space="preserve">a operação do sistema não altera o PLD;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receita fixa simplificada:</w:t>
      </w:r>
      <w:r>
        <w:t xml:space="preserve"> </w:t>
      </w:r>
      <w:r>
        <w:t xml:space="preserve">a receita fixa é rateada linearmente no horizonte, sem reajuste pelo Índice Nacional de Preços ao Consumidor Amplo (IPCA), sem o abatimento mensal por desempenho e sem as penalidades por indisponibilidade, cujos detalhes dependem do edital do leilão;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disponibilidade integral:</w:t>
      </w:r>
      <w:r>
        <w:t xml:space="preserve"> </w:t>
      </w:r>
      <w:r>
        <w:t xml:space="preserve">o módulo LRCAP atende a 100% do despacho, sem indisponibilidades programadas ou forçadas;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eletrolisador simplificado:</w:t>
      </w:r>
      <w:r>
        <w:t xml:space="preserve"> </w:t>
      </w:r>
      <w:r>
        <w:t xml:space="preserve">eficiência constante em toda a faixa de operação, com custo de partida apenas na extensão estocástica e sem tempos mínimos de operação e de parada, estado de espera (</w:t>
      </w:r>
      <w:r>
        <w:rPr>
          <w:i/>
          <w:iCs/>
        </w:rPr>
        <w:t xml:space="preserve">standby</w:t>
      </w:r>
      <w:r>
        <w:t xml:space="preserve">) ou limites de rampa;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degradação linear:</w:t>
      </w:r>
      <w:r>
        <w:t xml:space="preserve"> </w:t>
      </w:r>
      <w:r>
        <w:t xml:space="preserve">o custo de degradação do BESS é proporcional à energia descarregada, sem dependência da profundidade de descarga, e seu valor de referência (R$ 50/MWh) é inferior à estimativa baseada no custo de reposição dos módulos, o que é tratado por análise de sensibilidade;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divisão contínua do BESS:</w:t>
      </w:r>
      <w:r>
        <w:t xml:space="preserve"> </w:t>
      </w:r>
      <w:r>
        <w:t xml:space="preserve">a alocação entre os módulos é tratada como contínua, embora na prática seja discreta, em função da modularidade dos contêineres e conversores;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condições cíclicas semanais:</w:t>
      </w:r>
      <w:r>
        <w:t xml:space="preserve"> </w:t>
      </w:r>
      <w:r>
        <w:t xml:space="preserve">a decomposição impõe que os estados de armazenamento retornem ao valor inicial ao final de cada semana, impedindo transferências de energia ou de hidrogênio entre semanas; o efeito dessa restrição é verificado com blocos de até 28 dias (Seção 3.6.2);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anos distintos:</w:t>
      </w:r>
      <w:r>
        <w:t xml:space="preserve"> </w:t>
      </w:r>
      <w:r>
        <w:t xml:space="preserve">no caso determinístico, a série de irradiância (2023) e a de preços (2025) referem-se a anos diferentes; no caso estocástico, o mesmo ocorre nos cenários de 2024 e 2025, que utilizam a irradiância de 2023. Para uma usina de pequeno porte em relação ao SIN, a correlação horária entre a geração local e o PLD tende a ser fraca, mas a hipótese deve ser considerada na interpretação dos resultados;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contrato de hidrogênio simplificado:</w:t>
      </w:r>
      <w:r>
        <w:t xml:space="preserve"> </w:t>
      </w:r>
      <w:r>
        <w:t xml:space="preserve">o contrato é representado por um volume diário fixo, a preço fixo e com multa linear por déficit. Não se consideram cláusulas de</w:t>
      </w:r>
      <w:r>
        <w:t xml:space="preserve"> </w:t>
      </w:r>
      <w:r>
        <w:rPr>
          <w:i/>
          <w:iCs/>
        </w:rPr>
        <w:t xml:space="preserve">take-or-pay</w:t>
      </w:r>
      <w:r>
        <w:t xml:space="preserve"> </w:t>
      </w:r>
      <w:r>
        <w:t xml:space="preserve">sobre volumes anuais, flexibilidade de entrega entre dias, reajuste de preço ou a venda do excedente a outros compradores, e a multa adotada é um valor de referência ainda não calibrado com contratos reais;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curva de oferta discreta:</w:t>
      </w:r>
      <w:r>
        <w:t xml:space="preserve"> </w:t>
      </w:r>
      <w:r>
        <w:t xml:space="preserve">a curva é obtida numa grade de 2,5 MW, de modo que a potência ótima e os custos marginais são conhecidos com essa resolução, e não inclui o investimento no BESS;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viabilidade simplificada:</w:t>
      </w:r>
      <w:r>
        <w:t xml:space="preserve"> </w:t>
      </w:r>
      <w:r>
        <w:t xml:space="preserve">a análise de viabilidade considera fluxo de caixa constante em termos reais, sem tributos sobre a renda, sem financiamento, sem valor residual e com custo de O&amp;M fixo hipotético, e utiliza o lucro operacional calculado com os parâmetros provisórios de operação;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amostra de cenários:</w:t>
      </w:r>
      <w:r>
        <w:t xml:space="preserve"> </w:t>
      </w:r>
      <w:r>
        <w:t xml:space="preserve">os cinco anos históricos são tratados como equiprováveis e constituem uma amostra pequena; o VSS e o EVPI são, portanto, medidos dentro da amostra, e a avaliação da decisão fora da amostra é deixada para trabalhos futuros.</w:t>
      </w:r>
    </w:p>
    <w:bookmarkEnd w:id="43"/>
    <w:bookmarkStart w:id="44" w:name="referências"/>
    <w:p>
      <w:pPr>
        <w:pStyle w:val="Heading2"/>
      </w:pPr>
      <w:r>
        <w:t xml:space="preserve">REFERÊNCIAS</w:t>
      </w:r>
    </w:p>
    <w:p>
      <w:pPr>
        <w:pStyle w:val="Referencia"/>
      </w:pPr>
      <w:r>
        <w:t xml:space="preserve">ANEEL – AGÊNCIA NACIONAL DE ENERGIA ELÉTRICA.</w:t>
      </w:r>
      <w:r>
        <w:t xml:space="preserve"> </w:t>
      </w:r>
      <w:r>
        <w:rPr>
          <w:b/>
          <w:bCs/>
        </w:rPr>
        <w:t xml:space="preserve">Atualização das taxas regulatórias de remuneração do capital (WACC) dos segmentos de geração, transmissão e distribuição</w:t>
      </w:r>
      <w:r>
        <w:t xml:space="preserve">. Brasília: ANEEL, mar. 2026.</w:t>
      </w:r>
    </w:p>
    <w:p>
      <w:pPr>
        <w:pStyle w:val="Referencia"/>
      </w:pPr>
      <w:r>
        <w:t xml:space="preserve">BENDERS, J. F. Partitioning procedures for solving mixed-variables programming problems.</w:t>
      </w:r>
      <w:r>
        <w:t xml:space="preserve"> </w:t>
      </w:r>
      <w:r>
        <w:rPr>
          <w:b/>
          <w:bCs/>
        </w:rPr>
        <w:t xml:space="preserve">Numerische Mathematik</w:t>
      </w:r>
      <w:r>
        <w:t xml:space="preserve">, v. 4, n. 1, p. 238–252, 1962.</w:t>
      </w:r>
    </w:p>
    <w:p>
      <w:pPr>
        <w:pStyle w:val="Referencia"/>
      </w:pPr>
      <w:r>
        <w:t xml:space="preserve">BIRGE, J. R. The value of the stochastic solution in stochastic linear programs with fixed recourse.</w:t>
      </w:r>
      <w:r>
        <w:t xml:space="preserve"> </w:t>
      </w:r>
      <w:r>
        <w:rPr>
          <w:b/>
          <w:bCs/>
        </w:rPr>
        <w:t xml:space="preserve">Mathematical Programming</w:t>
      </w:r>
      <w:r>
        <w:t xml:space="preserve">, v. 24, n. 1, p. 314–325, 1982.</w:t>
      </w:r>
    </w:p>
    <w:p>
      <w:pPr>
        <w:pStyle w:val="Referencia"/>
      </w:pPr>
      <w:r>
        <w:t xml:space="preserve">BIRGE, J. R.; LOUVEAUX, F.</w:t>
      </w:r>
      <w:r>
        <w:t xml:space="preserve"> </w:t>
      </w:r>
      <w:r>
        <w:rPr>
          <w:b/>
          <w:bCs/>
        </w:rPr>
        <w:t xml:space="preserve">Introduction to stochastic programming</w:t>
      </w:r>
      <w:r>
        <w:t xml:space="preserve">. 2. ed. New York: Springer, 2011.</w:t>
      </w:r>
    </w:p>
    <w:p>
      <w:pPr>
        <w:pStyle w:val="Referencia"/>
      </w:pPr>
      <w:r>
        <w:t xml:space="preserve">BNEF – BLOOMBERGNEF.</w:t>
      </w:r>
      <w:r>
        <w:t xml:space="preserve"> </w:t>
      </w:r>
      <w:r>
        <w:rPr>
          <w:b/>
          <w:bCs/>
        </w:rPr>
        <w:t xml:space="preserve">Lithium-ion battery pack prices fall to $108 per kilowatt-hour, despite rising metal prices</w:t>
      </w:r>
      <w:r>
        <w:t xml:space="preserve">. Londres: BloombergNEF, 9 dez. 2025. Disponível em: https://about.bnef.com. Acesso em: 3 out. 2026.</w:t>
      </w:r>
    </w:p>
    <w:p>
      <w:pPr>
        <w:pStyle w:val="Referencia"/>
      </w:pPr>
      <w:r>
        <w:t xml:space="preserve">BRASIL. Ministério de Minas e Energia. Portaria Normativa MME nº 136, de 1º de junho de 2026. Estabelece as Diretrizes e a Sistemática para a realização dos Leilões para Contratação de Potência Elétrica, a partir de novos sistemas de armazenamento de energia em baterias.</w:t>
      </w:r>
      <w:r>
        <w:t xml:space="preserve"> </w:t>
      </w:r>
      <w:r>
        <w:rPr>
          <w:b/>
          <w:bCs/>
        </w:rPr>
        <w:t xml:space="preserve">Diário Oficial da União</w:t>
      </w:r>
      <w:r>
        <w:t xml:space="preserve">: seção 1, Brasília, DF, n. 103, p. 98, 3 jun. 2026.</w:t>
      </w:r>
    </w:p>
    <w:p>
      <w:pPr>
        <w:pStyle w:val="Referencia"/>
      </w:pPr>
      <w:r>
        <w:t xml:space="preserve">BRASIL. Ministério de Minas e Energia; EPE – EMPRESA DE PESQUISA ENERGÉTICA.</w:t>
      </w:r>
      <w:r>
        <w:t xml:space="preserve"> </w:t>
      </w:r>
      <w:r>
        <w:rPr>
          <w:b/>
          <w:bCs/>
        </w:rPr>
        <w:t xml:space="preserve">Caderno de parâmetros de custos</w:t>
      </w:r>
      <w:r>
        <w:t xml:space="preserve">: geração e transmissão – PDE 2035. Brasília: MME/EPE, nov. 2025.</w:t>
      </w:r>
    </w:p>
    <w:p>
      <w:pPr>
        <w:pStyle w:val="Referencia"/>
      </w:pPr>
      <w:r>
        <w:t xml:space="preserve">BYNUM, M. 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rPr>
          <w:b/>
          <w:bCs/>
        </w:rPr>
        <w:t xml:space="preserve">Pyomo</w:t>
      </w:r>
      <w:r>
        <w:t xml:space="preserve">: optimization modeling in Python. 3. ed. Cham: Springer, 2021.</w:t>
      </w:r>
    </w:p>
    <w:p>
      <w:pPr>
        <w:pStyle w:val="Referencia"/>
      </w:pPr>
      <w:r>
        <w:t xml:space="preserve">CCEE – CÂMARA DE COMERCIALIZAÇÃO DE ENERGIA ELÉTRICA.</w:t>
      </w:r>
      <w:r>
        <w:t xml:space="preserve"> </w:t>
      </w:r>
      <w:r>
        <w:rPr>
          <w:b/>
          <w:bCs/>
        </w:rPr>
        <w:t xml:space="preserve">PLD horário</w:t>
      </w:r>
      <w:r>
        <w:t xml:space="preserve">. Portal de Dados Abertos da CCEE. 2026a. Disponível em: https://dadosabertos.ccee.org.br. Acesso em: 27 set. 2026.</w:t>
      </w:r>
    </w:p>
    <w:p>
      <w:pPr>
        <w:pStyle w:val="Referencia"/>
      </w:pPr>
      <w:r>
        <w:t xml:space="preserve">CCEE – CÂMARA DE COMERCIALIZAÇÃO DE ENERGIA ELÉTRICA.</w:t>
      </w:r>
      <w:r>
        <w:t xml:space="preserve"> </w:t>
      </w:r>
      <w:r>
        <w:rPr>
          <w:b/>
          <w:bCs/>
        </w:rPr>
        <w:t xml:space="preserve">InfoLeilão Expresso</w:t>
      </w:r>
      <w:r>
        <w:t xml:space="preserve">: 04º LRCAP 2026 – Leilão nº 2/2026-ANEEL. São Paulo: CCEE, mar. 2026b. Disponível em: https://www.ccee.org.br. Acesso em: 3 out. 2026.</w:t>
      </w:r>
    </w:p>
    <w:p>
      <w:pPr>
        <w:pStyle w:val="Referencia"/>
      </w:pPr>
      <w:r>
        <w:t xml:space="preserve">CCEE – CÂMARA DE COMERCIALIZAÇÃO DE ENERGIA ELÉTRICA.</w:t>
      </w:r>
      <w:r>
        <w:t xml:space="preserve"> </w:t>
      </w:r>
      <w:r>
        <w:rPr>
          <w:b/>
          <w:bCs/>
        </w:rPr>
        <w:t xml:space="preserve">InfoLeilão Expresso</w:t>
      </w:r>
      <w:r>
        <w:t xml:space="preserve">: 05º LRCAP 2026 – Leilão nº 3/2026-ANEEL. São Paulo: CCEE, mar. 2026c. Disponível em: https://www.ccee.org.br. Acesso em: 3 out. 2026.</w:t>
      </w:r>
    </w:p>
    <w:p>
      <w:pPr>
        <w:pStyle w:val="Referencia"/>
      </w:pPr>
      <w:r>
        <w:t xml:space="preserve">CONEJO, A.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rPr>
          <w:b/>
          <w:bCs/>
        </w:rPr>
        <w:t xml:space="preserve">Decomposition techniques in mathematical programming</w:t>
      </w:r>
      <w:r>
        <w:t xml:space="preserve">: engineering and science applications. Berlin: Springer, 2006.</w:t>
      </w:r>
    </w:p>
    <w:p>
      <w:pPr>
        <w:pStyle w:val="Referencia"/>
      </w:pPr>
      <w:r>
        <w:t xml:space="preserve">CONEJO, A. J.; CARRIÓN, M.; MORALES, J. M.</w:t>
      </w:r>
      <w:r>
        <w:t xml:space="preserve"> </w:t>
      </w:r>
      <w:r>
        <w:rPr>
          <w:b/>
          <w:bCs/>
        </w:rPr>
        <w:t xml:space="preserve">Decision making under uncertainty in electricity markets</w:t>
      </w:r>
      <w:r>
        <w:t xml:space="preserve">. New York: Springer, 2010.</w:t>
      </w:r>
    </w:p>
    <w:p>
      <w:pPr>
        <w:pStyle w:val="Referencia"/>
      </w:pPr>
      <w:r>
        <w:t xml:space="preserve">EPE – EMPRESA DE PESQUISA ENERGÉTICA.</w:t>
      </w:r>
      <w:r>
        <w:t xml:space="preserve"> </w:t>
      </w:r>
      <w:r>
        <w:rPr>
          <w:b/>
          <w:bCs/>
        </w:rPr>
        <w:t xml:space="preserve">Plano Decenal de Expansão de Energia 2034</w:t>
      </w:r>
      <w:r>
        <w:t xml:space="preserve">: caderno de micro e minigeração distribuída e baterias. Rio de Janeiro: EPE, 2024.</w:t>
      </w:r>
    </w:p>
    <w:p>
      <w:pPr>
        <w:pStyle w:val="Referencia"/>
      </w:pPr>
      <w:r>
        <w:t xml:space="preserve">FENG, L.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Optimization analysis of energy storage application based on electricity price arbitrage and ancillary services.</w:t>
      </w:r>
      <w:r>
        <w:t xml:space="preserve"> </w:t>
      </w:r>
      <w:r>
        <w:rPr>
          <w:b/>
          <w:bCs/>
        </w:rPr>
        <w:t xml:space="preserve">Journal of Energy Storage</w:t>
      </w:r>
      <w:r>
        <w:t xml:space="preserve">, v. 55, p. 105508, 2022.</w:t>
      </w:r>
    </w:p>
    <w:p>
      <w:pPr>
        <w:pStyle w:val="Referencia"/>
      </w:pPr>
      <w:r>
        <w:t xml:space="preserve">HERSBACH, H.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The ERA5 global reanalysis.</w:t>
      </w:r>
      <w:r>
        <w:t xml:space="preserve"> </w:t>
      </w:r>
      <w:r>
        <w:rPr>
          <w:b/>
          <w:bCs/>
        </w:rPr>
        <w:t xml:space="preserve">Quarterly Journal of the Royal Meteorological Society</w:t>
      </w:r>
      <w:r>
        <w:t xml:space="preserve">, v. 146, n. 730, p. 1999–2049, 2020.</w:t>
      </w:r>
    </w:p>
    <w:p>
      <w:pPr>
        <w:pStyle w:val="Referencia"/>
      </w:pPr>
      <w:r>
        <w:t xml:space="preserve">IEA – INTERNATIONAL ENERGY AGENCY.</w:t>
      </w:r>
      <w:r>
        <w:t xml:space="preserve"> </w:t>
      </w:r>
      <w:r>
        <w:rPr>
          <w:b/>
          <w:bCs/>
        </w:rPr>
        <w:t xml:space="preserve">Global Hydrogen Review 2025</w:t>
      </w:r>
      <w:r>
        <w:t xml:space="preserve">. Paris: IEA, out. 2025.</w:t>
      </w:r>
    </w:p>
    <w:p>
      <w:pPr>
        <w:pStyle w:val="Referencia"/>
      </w:pPr>
      <w:r>
        <w:t xml:space="preserve">IBGE – INSTITUTO BRASILEIRO DE GEOGRAFIA E ESTATÍSTICA.</w:t>
      </w:r>
      <w:r>
        <w:t xml:space="preserve"> </w:t>
      </w:r>
      <w:r>
        <w:rPr>
          <w:b/>
          <w:bCs/>
        </w:rPr>
        <w:t xml:space="preserve">Índice Nacional de Preços ao Consumidor Amplo (IPCA)</w:t>
      </w:r>
      <w:r>
        <w:t xml:space="preserve">: séries históricas. Rio de Janeiro: IBGE, 2026. Disponível em: https://www.ibge.gov.br/estatisticas/economicas/precos-e-custos/9256-indice-nacional-de-precos-ao-consumidor-amplo.html. Acesso em: 3 out. 2026.</w:t>
      </w:r>
    </w:p>
    <w:p>
      <w:pPr>
        <w:pStyle w:val="Referencia"/>
      </w:pPr>
      <w:r>
        <w:t xml:space="preserve">HUANGFU, Q.; HALL, J. A. J. Parallelizing the dual revised simplex method.</w:t>
      </w:r>
      <w:r>
        <w:t xml:space="preserve"> </w:t>
      </w:r>
      <w:r>
        <w:rPr>
          <w:b/>
          <w:bCs/>
        </w:rPr>
        <w:t xml:space="preserve">Mathematical Programming Computation</w:t>
      </w:r>
      <w:r>
        <w:t xml:space="preserve">, v. 10, n. 1, p. 119–142, 2018.</w:t>
      </w:r>
    </w:p>
    <w:p>
      <w:pPr>
        <w:pStyle w:val="Referencia"/>
      </w:pPr>
      <w:r>
        <w:t xml:space="preserve">HULD, T.; MÜLLER, R.; GAMBARDELLA, A. A new solar radiation database for estimating PV performance in Europe and Africa.</w:t>
      </w:r>
      <w:r>
        <w:t xml:space="preserve"> </w:t>
      </w:r>
      <w:r>
        <w:rPr>
          <w:b/>
          <w:bCs/>
        </w:rPr>
        <w:t xml:space="preserve">Solar Energy</w:t>
      </w:r>
      <w:r>
        <w:t xml:space="preserve">, v. 86, n. 6, p. 1803–1815, 2012.</w:t>
      </w:r>
    </w:p>
    <w:p>
      <w:pPr>
        <w:pStyle w:val="Referencia"/>
      </w:pPr>
      <w:r>
        <w:t xml:space="preserve">ROCKAFELLAR, R. T.; URYASEV, S. Optimization of conditional value-at-risk.</w:t>
      </w:r>
      <w:r>
        <w:t xml:space="preserve"> </w:t>
      </w:r>
      <w:r>
        <w:rPr>
          <w:b/>
          <w:bCs/>
        </w:rPr>
        <w:t xml:space="preserve">Journal of Risk</w:t>
      </w:r>
      <w:r>
        <w:t xml:space="preserve">, v. 2, n. 3, p. 21–41, 2000.</w:t>
      </w:r>
    </w:p>
    <w:p>
      <w:pPr>
        <w:pStyle w:val="Referencia"/>
      </w:pPr>
      <w:r>
        <w:t xml:space="preserve">TERNA.</w:t>
      </w:r>
      <w:r>
        <w:t xml:space="preserve"> </w:t>
      </w:r>
      <w:r>
        <w:rPr>
          <w:b/>
          <w:bCs/>
        </w:rPr>
        <w:t xml:space="preserve">Terna completes first MACSE auction</w:t>
      </w:r>
      <w:r>
        <w:t xml:space="preserve">: 10 GWh of energy storage capacity awarded. Roma: Terna S.p.A., 1 out. 2025. Comunicado de imprensa. Disponível em: https://www.terna.it. Acesso em: 3 out. 2026.</w:t>
      </w:r>
    </w:p>
    <w:p>
      <w:pPr>
        <w:pStyle w:val="Referencia"/>
      </w:pPr>
      <w:r>
        <w:t xml:space="preserve">ZOU, J.; AHMED, S.; SUN, X. A. Stochastic dual dynamic integer programming.</w:t>
      </w:r>
      <w:r>
        <w:t xml:space="preserve"> </w:t>
      </w:r>
      <w:r>
        <w:rPr>
          <w:b/>
          <w:bCs/>
        </w:rPr>
        <w:t xml:space="preserve">Mathematical Programming</w:t>
      </w:r>
      <w:r>
        <w:t xml:space="preserve">, v. 175, n. 1–2, p. 461–502, 2019.</w:t>
      </w:r>
    </w:p>
    <w:bookmarkEnd w:id="44"/>
    <w:bookmarkEnd w:id="45"/>
    <w:sectPr>
      <w:pgSz w:w="11906" w:h="16838"/>
      <w:pgMar w:top="1701" w:right="1134" w:bottom="1134" w:left="1701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default="1" w:styleId="Normal">
    <w:name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FirstParagraph">
    <w:name w:val="First Paragraph"/>
    <w:basedOn w:val="BodyText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Compact">
    <w:name w:val="Compact"/>
    <w:basedOn w:val="Normal"/>
    <w:qFormat/>
    <w:pPr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1">
    <w:name w:val="heading 1"/>
    <w:basedOn w:val="Normal"/>
    <w:qFormat/>
    <w:pPr>
      <w:keepNext/>
      <w:spacing w:before="0" w:after="36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qFormat/>
    <w:pPr>
      <w:keepNext/>
      <w:spacing w:before="360" w:after="24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qFormat/>
    <w:pPr>
      <w:keepNext/>
      <w:spacing w:before="240" w:after="24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Legenda">
    <w:name w:val="Legenda"/>
    <w:basedOn w:val="Normal"/>
    <w:qFormat/>
    <w:pPr>
      <w:keepNext/>
      <w:spacing w:before="240" w:after="6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Figura">
    <w:name w:val="Figura"/>
    <w:basedOn w:val="Normal"/>
    <w:qFormat/>
    <w:pPr>
      <w:keepNext/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Fonte">
    <w:name w:val="Fonte"/>
    <w:basedOn w:val="Normal"/>
    <w:qFormat/>
    <w:pPr>
      <w:spacing w:before="60" w:after="240" w:line="240" w:lineRule="auto"/>
      <w:ind w:firstLine="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Referencia">
    <w:name w:val="Referencia"/>
    <w:basedOn w:val="Normal"/>
    <w:qFormat/>
    <w:pPr>
      <w:spacing w:before="0" w:after="240" w:line="240" w:lineRule="auto"/>
      <w:ind w:firstLine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NumeroEquacao">
    <w:name w:val="Numero Equacao"/>
    <w:basedOn w:val="Normal"/>
    <w:qFormat/>
    <w:pPr>
      <w:spacing w:before="0" w:after="0" w:line="240" w:lineRule="auto"/>
      <w:ind w:firstLine="0"/>
      <w:jc w:val="right"/>
    </w:pPr>
    <w:rPr>
      <w:rFonts w:ascii="Times New Roman" w:hAnsi="Times New Roman" w:eastAsia="Times New Roman" w:cs="Times New Roman"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2026-10-04T21:17:36Z</dcterms:created>
  <dcterms:modified xsi:type="dcterms:W3CDTF">2026-10-04T21:17:36Z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