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  <Override PartName="/word/media/rId23.png" ContentType="image/png"/>
  <Override PartName="/word/media/rId34.png" ContentType="image/png"/>
  <Override PartName="/word/media/rId37.png" ContentType="image/png"/>
  <Override PartName="/word/media/rId44.png" ContentType="image/png"/>
  <Override PartName="/word/media/rId13.png" ContentType="image/png"/>
  <Override PartName="/word/media/rId30.png" ContentType="image/png"/>
  <Override PartName="/word/media/rId2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resultados-e-discussão"/>
    <w:p>
      <w:pPr>
        <w:pStyle w:val="Heading1"/>
      </w:pPr>
      <w:r>
        <w:t xml:space="preserve">4 RESULTADOS E DISCUSSÃO</w:t>
      </w:r>
    </w:p>
    <w:p>
      <w:pPr>
        <w:pStyle w:val="FirstParagraph"/>
      </w:pPr>
      <w:r>
        <w:t xml:space="preserve">Este capítulo apresenta os resultados do modelo descrito no Capítulo 3, aplicado ao caso de referência: a planta da UNIFEI escalonada para 50 MWp de geração FV e 17,5 MW de eletrolisador PEM, com BESS hipotético de 60 MW e 300 MWh, conectada ao submercado SE/CO. Salvo indicação em contrário, os resultados das Seções 4.2 a 4.6 e 4.8 correspondem ao lucro esperado nos cinco cenários anuais de 2021 a 2025 (Seção 3.7.2), em valores de dezembro de 2025; as Seções 4.1 e 4.7 e a análise da decomposição na Seção 4.8 utilizam o caso determinístico de 2025 (Seção 3.5). A Seção 4.1 apresenta o caso determinístico de 2025, que serve de referência para o desempenho do método de solução; a Seção 4.2, a decisão de contratação e a operação no modelo estocástico; a Seção 4.3, o valor da solução estocástica e da informação perfeita; a Seção 4.4, a curva de oferta no leilão; a Seção 4.5, o efeito do contrato de hidrogênio e da importação de energia; a Seção 4.6, o efeito da frequência do despacho do ONS; a Seção 4.7, a sensibilidade à receita fixa e ao preço do hidrogênio; a Seção 4.8, a robustez dos resultados ao custo de degradação, ao dimensionamento e à decomposição; a Seção 4.9, a viabilidade econômica e o lance mínimo; e a Seção 4.10 sintetiza os resultados.</w:t>
      </w:r>
    </w:p>
    <w:p>
      <w:pPr>
        <w:pStyle w:val="BodyText"/>
      </w:pPr>
      <w:r>
        <w:t xml:space="preserve">Ressalta-se que parte dos parâmetros econômicos — em especial a receita fixa do LRCAP (R$ 600 mil/(MW·ano)), o preço do hidrogênio (R$ 35/kg), o custo de degradação do BESS (R$ 50/MWh) e a multa contratual por déficit de hidrogênio — tem caráter provisório, conforme discutido na Seção 3.5. Por isso, a ênfase deste capítulo recai sobre as relações entre as decisões e as hipóteses, e não sobre os valores absolutos de lucro.</w:t>
      </w:r>
    </w:p>
    <w:bookmarkStart w:id="12" w:name="Xc67fa1b47bfeb8d63423723fc053b3dded1a697"/>
    <w:p>
      <w:pPr>
        <w:pStyle w:val="Heading2"/>
      </w:pPr>
      <w:r>
        <w:t xml:space="preserve">4.1 Caso determinístico de 2025 e desempenho do método</w:t>
      </w:r>
    </w:p>
    <w:p>
      <w:pPr>
        <w:pStyle w:val="FirstParagraph"/>
      </w:pPr>
      <w:r>
        <w:t xml:space="preserve">O caso determinístico utiliza o PLD do submercado SE/CO de 2025, a geração FV obtida da base ERA5 e o perfil fixo de despacho do ONS descritos na Seção 3.5, com o ano dividido em 52 blocos semanais. A Figura 4.1 apresenta a convergência do algoritmo de Benders e a aproximação da função valor do primeiro estágio construída pelos cortes.</w:t>
      </w:r>
    </w:p>
    <w:p>
      <w:pPr>
        <w:pStyle w:val="Legenda"/>
      </w:pPr>
      <w:r>
        <w:t xml:space="preserve">Figura 4.1 – Caso determinístico de 2025: (a) limites superior e inferior ao longo das iterações de Benders; (b) aproximação da função valor pelos cortes e pontos avaliados</w:t>
      </w:r>
    </w:p>
    <w:p>
      <w:pPr>
        <w:pStyle w:val="Figura"/>
      </w:pPr>
      <w:r>
        <w:drawing>
          <wp:inline>
            <wp:extent cx="5334000" cy="20002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./figuras/benders_unifei_escalonad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Após a avaliação dos três pontos iniciais (0, 30 e 60 MW), o limite superior parte de R$ 72,7 milhões, e o algoritmo converge em quatro iterações, com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final de 0,06%, em 67 segundos de processamento em quatro núcleos — tempo inferior ao de uma única tentativa de solução direta do MILP anual, interrompida após 15 minutos sem solução (Seção 3.6.1). A Figura 4.1(b) mostra que a função valor é crescente e aproximadamente linear até cerca de 45 MW e praticamente plana entre 50 e 60 MW, o que explica a convergência rápida: poucos cortes bastam para delimitar a região do ótimo.</w:t>
      </w:r>
    </w:p>
    <w:p>
      <w:pPr>
        <w:pStyle w:val="BodyText"/>
      </w:pPr>
      <w:r>
        <w:t xml:space="preserve">O ótimo encontrado é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=</m:t>
        </m:r>
        <m:r>
          <m:t>54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MW, com lucro de R$ 67,5 milhões no ano. A Tabela 4.1 compara a composição desse resultado com o ótimo do modelo estocástico, apresentado na Seção 4.2.</w:t>
      </w:r>
    </w:p>
    <w:p>
      <w:pPr>
        <w:pStyle w:val="Legenda"/>
      </w:pPr>
      <w:r>
        <w:t xml:space="preserve">Tabela 4.1 – Comparação entre o caso determinístico de 2025 e o modelo estocástico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Determinístico (2025)</w:t>
            </w:r>
          </w:p>
        </w:tc>
        <w:tc>
          <w:tcPr/>
          <w:p>
            <w:pPr>
              <w:pStyle w:val="Compact"/>
            </w:pPr>
            <w:r>
              <w:t xml:space="preserve">Estocástico (2021–2025, média)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Potência ótima no LRCAP (MW)</w:t>
            </w:r>
          </w:p>
        </w:tc>
        <w:tc>
          <w:tcPr/>
          <w:p>
            <w:pPr>
              <w:pStyle w:val="Compact"/>
            </w:pPr>
            <w:r>
              <w:t xml:space="preserve">54,4</w:t>
            </w:r>
          </w:p>
        </w:tc>
        <w:tc>
          <w:tcPr/>
          <w:p>
            <w:pPr>
              <w:pStyle w:val="Compact"/>
            </w:pPr>
            <w:r>
              <w:t xml:space="preserve">54,4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Lucro (R$ milhões/ano)</w:t>
            </w:r>
          </w:p>
        </w:tc>
        <w:tc>
          <w:tcPr/>
          <w:p>
            <w:pPr>
              <w:pStyle w:val="Compact"/>
            </w:pPr>
            <w:r>
              <w:t xml:space="preserve">67,5</w:t>
            </w:r>
          </w:p>
        </w:tc>
        <w:tc>
          <w:tcPr/>
          <w:p>
            <w:pPr>
              <w:pStyle w:val="Compact"/>
            </w:pPr>
            <w:r>
              <w:t xml:space="preserve">68,1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fixa do LRCAP (R$ milhões/ano)</w:t>
            </w:r>
          </w:p>
        </w:tc>
        <w:tc>
          <w:tcPr/>
          <w:p>
            <w:pPr>
              <w:pStyle w:val="Compact"/>
            </w:pPr>
            <w:r>
              <w:t xml:space="preserve">32,7</w:t>
            </w:r>
          </w:p>
        </w:tc>
        <w:tc>
          <w:tcPr/>
          <w:p>
            <w:pPr>
              <w:pStyle w:val="Compact"/>
            </w:pPr>
            <w:r>
              <w:t xml:space="preserve">32,6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de H₂ (R$ milhões/ano)</w:t>
            </w:r>
          </w:p>
        </w:tc>
        <w:tc>
          <w:tcPr/>
          <w:p>
            <w:pPr>
              <w:pStyle w:val="Compact"/>
            </w:pPr>
            <w:r>
              <w:t xml:space="preserve">39,1</w:t>
            </w:r>
          </w:p>
        </w:tc>
        <w:tc>
          <w:tcPr/>
          <w:p>
            <w:pPr>
              <w:pStyle w:val="Compact"/>
            </w:pPr>
            <w:r>
              <w:t xml:space="preserve">36,0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no MCP (R$ milhões/ano)</w:t>
            </w:r>
          </w:p>
        </w:tc>
        <w:tc>
          <w:tcPr/>
          <w:p>
            <w:pPr>
              <w:pStyle w:val="Compac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  <w:r>
              <w:t xml:space="preserve">5,1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Degradação do BESS (R$ milhões/ano)</w:t>
            </w:r>
          </w:p>
        </w:tc>
        <w:tc>
          <w:tcPr/>
          <w:p>
            <w:pPr>
              <w:pStyle w:val="Compac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4,4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H₂ produzido (t/ano)</w:t>
            </w:r>
          </w:p>
        </w:tc>
        <w:tc>
          <w:tcPr/>
          <w:p>
            <w:pPr>
              <w:pStyle w:val="Compact"/>
            </w:pPr>
            <w:r>
              <w:t xml:space="preserve">1.117</w:t>
            </w:r>
          </w:p>
        </w:tc>
        <w:tc>
          <w:tcPr/>
          <w:p>
            <w:pPr>
              <w:pStyle w:val="Compact"/>
            </w:pPr>
            <w:r>
              <w:t xml:space="preserve">1.029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Fator de capacidade do eletrolisador</w:t>
            </w:r>
          </w:p>
        </w:tc>
        <w:tc>
          <w:tcPr/>
          <w:p>
            <w:pPr>
              <w:pStyle w:val="Compact"/>
            </w:pPr>
            <w:r>
              <w:t xml:space="preserve">0,40</w:t>
            </w:r>
          </w:p>
        </w:tc>
        <w:tc>
          <w:tcPr/>
          <w:p>
            <w:pPr>
              <w:pStyle w:val="Compact"/>
            </w:pPr>
            <w:r>
              <w:t xml:space="preserve">0,37</w:t>
            </w:r>
          </w:p>
        </w:tc>
      </w:tr>
    </w:tbl>
    <w:p>
      <w:pPr>
        <w:pStyle w:val="Fonte"/>
      </w:pPr>
      <w:r>
        <w:t xml:space="preserve">Fonte: elaborado pelo autor. Valores do modelo estocástico obtidos na grade de 55 MW, exceto potência, lucro e receita fixa.</w:t>
      </w:r>
    </w:p>
    <w:p>
      <w:pPr>
        <w:pStyle w:val="BodyText"/>
      </w:pPr>
      <w:r>
        <w:t xml:space="preserve">As duas abordagens conduzem à mesma potência ótima. As diferenças de composição decorrem principalmente do preço. Embora a série ERA5 de 2025 apresente fator de capacidade FV ligeiramente inferior ao da média dos cenários SARAH-3 (16,9% contra 17,5%), o caso determinístico produz mais hidrogênio. No modelo estocástico, os picos de PLD do cenário de 2021, que superam o valor da energia no eletrolisador, tornam a exportação ao MCP mais vantajosa em parte das horas, o que eleva a receita média no mercado de curto prazo e reduz a produção de hidrogênio. A coincidência das potências ótimas antecipa o resultado da Seção 4.3: a variação entre anos pouco altera a decisão de contratação.</w:t>
      </w:r>
    </w:p>
    <w:bookmarkEnd w:id="12"/>
    <w:bookmarkStart w:id="16" w:name="X56b8d8d6087674c35fe11f865ddd535a2471b8b"/>
    <w:p>
      <w:pPr>
        <w:pStyle w:val="Heading2"/>
      </w:pPr>
      <w:r>
        <w:t xml:space="preserve">4.2 Decisão de contratação no modelo estocástico</w:t>
      </w:r>
    </w:p>
    <w:p>
      <w:pPr>
        <w:pStyle w:val="FirstParagraph"/>
      </w:pPr>
      <w:r>
        <w:t xml:space="preserve">A Figura 4.2(a) apresenta o lucro anual de cada cenário, o lucro esperado e o CVaR em função da potência contratada no LRCAP. Participar do leilão é vantajoso em todos os cenários: a contratação do mínimo regulatório de 30 MW eleva o lucro esperado de R$ 45,0 milhões para R$ 60,7 milhões por ano, um acréscimo de 35%. A partir desse ponto, o lucro esperado continua a crescer, porém a taxas decrescentes, até um máximo e decresce em seguida, quando a potência contratada passa a retirar do módulo mercantil a capacidade que abastece o eletrolisador durante a noite.</w:t>
      </w:r>
    </w:p>
    <w:p>
      <w:pPr>
        <w:pStyle w:val="Legenda"/>
      </w:pPr>
      <w:r>
        <w:t xml:space="preserve">Figura 4.2 – Lucro anual em função da potência contratada no LRCAP: (a) por cenário, lucro esperado e CVaR; (b) por cenário, para quatro decisões de contratação</w:t>
      </w:r>
    </w:p>
    <w:p>
      <w:pPr>
        <w:pStyle w:val="Figura"/>
      </w:pPr>
      <w:r>
        <w:drawing>
          <wp:inline>
            <wp:extent cx="5334000" cy="1962912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figuras/estocastico_unifei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O ótimo, assinalado na Figura 4.2, é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=</m:t>
        </m:r>
        <m:r>
          <m:t>54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MW, com lucro esperado de R$ 68,12 milhões por ano, obtido com tolerância de convergência de 0,01%. Com a tolerância de 0,1% usada inicialmente, o algoritmo de Benders havia encerrado em 53,4 MW, com lucro esperado apenas R$ 20 mil inferior. A diferença ilustra uma característica central do problema: a função de lucro é muito plana na vizinhança do ótimo, com variação inferior a 0,4% entre 50 e 56 MW. Do ponto de vista prático, a decisão relevante é contratar entre 50 e 55 MW; a localização exata do máximo é menos importante do que as hipóteses que o determinam, examinadas nas seções seguintes.</w:t>
      </w:r>
    </w:p>
    <w:p>
      <w:pPr>
        <w:pStyle w:val="BodyText"/>
      </w:pPr>
      <w:r>
        <w:t xml:space="preserve">O lucro por cenário na potência ótima é apresentado na Tabela 4.2. O pior cenário é 2022, ano em que o PLD permaneceu próximo do piso regulatório, e o melhor, 2021, ano da crise hídrica. A diferença entre eles, de cerca de R$ 8 milhões por ano, é pequena diante do ganho proporcionado pela participação no leilão.</w:t>
      </w:r>
    </w:p>
    <w:p>
      <w:pPr>
        <w:pStyle w:val="Legenda"/>
      </w:pPr>
      <w:r>
        <w:t xml:space="preserve">Tabela 4.2 – Lucro anual por cenário na potência ótima (54,4 MW)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CVaR 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Lucro (R$ milhões/ano)</w:t>
            </w:r>
          </w:p>
        </w:tc>
        <w:tc>
          <w:tcPr/>
          <w:p>
            <w:pPr>
              <w:pStyle w:val="Compact"/>
            </w:pPr>
            <w:r>
              <w:t xml:space="preserve">73,47</w:t>
            </w:r>
          </w:p>
        </w:tc>
        <w:tc>
          <w:tcPr/>
          <w:p>
            <w:pPr>
              <w:pStyle w:val="Compact"/>
            </w:pPr>
            <w:r>
              <w:t xml:space="preserve">65,38</w:t>
            </w:r>
          </w:p>
        </w:tc>
        <w:tc>
          <w:tcPr/>
          <w:p>
            <w:pPr>
              <w:pStyle w:val="Compact"/>
            </w:pPr>
            <w:r>
              <w:t xml:space="preserve">66,58</w:t>
            </w:r>
          </w:p>
        </w:tc>
        <w:tc>
          <w:tcPr/>
          <w:p>
            <w:pPr>
              <w:pStyle w:val="Compact"/>
            </w:pPr>
            <w:r>
              <w:t xml:space="preserve">67,40</w:t>
            </w:r>
          </w:p>
        </w:tc>
        <w:tc>
          <w:tcPr/>
          <w:p>
            <w:pPr>
              <w:pStyle w:val="Compact"/>
            </w:pPr>
            <w:r>
              <w:t xml:space="preserve">67,77</w:t>
            </w:r>
          </w:p>
        </w:tc>
        <w:tc>
          <w:tcPr/>
          <w:p>
            <w:pPr>
              <w:pStyle w:val="Compact"/>
            </w:pPr>
            <w:r>
              <w:t xml:space="preserve">68,12</w:t>
            </w:r>
          </w:p>
        </w:tc>
        <w:tc>
          <w:tcPr/>
          <w:p>
            <w:pPr>
              <w:pStyle w:val="Compact"/>
            </w:pPr>
            <w:r>
              <w:t xml:space="preserve">65,38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A fronteira entre risco e retorno, obtida com pesos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 </m:t>
        </m:r>
        <m:r>
          <m:t>1</m:t>
        </m:r>
        <m:r>
          <m:rPr>
            <m:sty m:val="p"/>
          </m:rPr>
          <m:t>;</m:t>
        </m:r>
        <m:r>
          <m:t> 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para o CVaR, degenerou em um único ponto: a mesma potência maximiza o lucro esperado e o lucro do pior ano, com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inferior a 0,07% em todos os casos. Não há, portanto, troca entre risco e retorno nesta configuração, pois a dispersão entre os cenários pouco depende da decisão de contratação, como se observa na Figura 4.2(b): as barras de cada decisão se deslocam praticamente em paralelo entre os anos.</w:t>
      </w:r>
    </w:p>
    <w:p>
      <w:pPr>
        <w:pStyle w:val="BodyText"/>
      </w:pPr>
      <w:r>
        <w:t xml:space="preserve">A composição do lucro médio na potência de 55 MW, ponto da grade da Seção 3.8 mais próximo do ótimo, é: R$ 33,0 milhões de receita fixa do LRCAP, R$ 36,0 milhões de receita com hidrogênio e R$ 5,1 milhões no MCP, deduzidos R$ 4,4 milhões de degradação do BESS e R$ 1,6 milhão de custos variáveis de produção de hidrogênio. O eletrolisador consome 56,6 GWh por ano, cerca de três quartos da energia FV disponível, com fator de capacidade de 0,37, e produz 1.029 t de hidrogênio; os 19,4 GWh restantes são exportados ao MCP. Esse resultado antecipa a principal conclusão da Seção 4.5: com o hidrogênio vendido sem limite de volume a R$ 35/kg, cada MWh destinado ao eletrolisador vale cerca de R$ 609, e o MCP tem papel secundário na operação.</w:t>
      </w:r>
    </w:p>
    <w:bookmarkEnd w:id="16"/>
    <w:bookmarkStart w:id="17" w:name="X803239abd151ab68ada138485f7ac164ea0f3ed"/>
    <w:p>
      <w:pPr>
        <w:pStyle w:val="Heading2"/>
      </w:pPr>
      <w:r>
        <w:t xml:space="preserve">4.3 Valor da solução estocástica e valor esperado da informação perfeita</w:t>
      </w:r>
    </w:p>
    <w:p>
      <w:pPr>
        <w:pStyle w:val="FirstParagraph"/>
      </w:pPr>
      <w:r>
        <w:t xml:space="preserve">A Tabela 4.3 compara a decisão estocástica (RP) com a decisão obtida no ano médio (EV) e com a solução espera-e-vê (WS), calculadas segundo a Seção 3.7.4.</w:t>
      </w:r>
    </w:p>
    <w:p>
      <w:pPr>
        <w:pStyle w:val="Legenda"/>
      </w:pPr>
      <w:r>
        <w:t xml:space="preserve">Tabela 4.3 – Decisões e lucro anual por cenário para o cálculo do VSS e do EVPI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9"/>
        <w:gridCol w:w="1677"/>
        <w:gridCol w:w="652"/>
        <w:gridCol w:w="652"/>
        <w:gridCol w:w="652"/>
        <w:gridCol w:w="652"/>
        <w:gridCol w:w="652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P</m:t>
                  </m:r>
                </m:e>
                <m:sup>
                  <m:r>
                    <m:t>c</m:t>
                  </m:r>
                  <m:r>
                    <m:t>a</m:t>
                  </m:r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 (estocástica)</w:t>
            </w:r>
          </w:p>
        </w:tc>
        <w:tc>
          <w:tcPr/>
          <w:p>
            <w:pPr>
              <w:pStyle w:val="Compact"/>
            </w:pPr>
            <w:r>
              <w:t xml:space="preserve">54,38</w:t>
            </w:r>
          </w:p>
        </w:tc>
        <w:tc>
          <w:tcPr/>
          <w:p>
            <w:pPr>
              <w:pStyle w:val="Compact"/>
            </w:pPr>
            <w:r>
              <w:t xml:space="preserve">73,47</w:t>
            </w:r>
          </w:p>
        </w:tc>
        <w:tc>
          <w:tcPr/>
          <w:p>
            <w:pPr>
              <w:pStyle w:val="Compact"/>
            </w:pPr>
            <w:r>
              <w:t xml:space="preserve">65,38</w:t>
            </w:r>
          </w:p>
        </w:tc>
        <w:tc>
          <w:tcPr/>
          <w:p>
            <w:pPr>
              <w:pStyle w:val="Compact"/>
            </w:pPr>
            <w:r>
              <w:t xml:space="preserve">66,58</w:t>
            </w:r>
          </w:p>
        </w:tc>
        <w:tc>
          <w:tcPr/>
          <w:p>
            <w:pPr>
              <w:pStyle w:val="Compact"/>
            </w:pPr>
            <w:r>
              <w:t xml:space="preserve">67,40</w:t>
            </w:r>
          </w:p>
        </w:tc>
        <w:tc>
          <w:tcPr/>
          <w:p>
            <w:pPr>
              <w:pStyle w:val="Compact"/>
            </w:pPr>
            <w:r>
              <w:t xml:space="preserve">67,77</w:t>
            </w:r>
          </w:p>
        </w:tc>
        <w:tc>
          <w:tcPr/>
          <w:p>
            <w:pPr>
              <w:pStyle w:val="Compact"/>
            </w:pPr>
            <w:r>
              <w:t xml:space="preserve">68,121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 (ano médio)</w:t>
            </w:r>
          </w:p>
        </w:tc>
        <w:tc>
          <w:tcPr/>
          <w:p>
            <w:pPr>
              <w:pStyle w:val="Compact"/>
            </w:pPr>
            <w:r>
              <w:t xml:space="preserve">54,34</w:t>
            </w:r>
          </w:p>
        </w:tc>
        <w:tc>
          <w:tcPr/>
          <w:p>
            <w:pPr>
              <w:pStyle w:val="Compact"/>
            </w:pPr>
            <w:r>
              <w:t xml:space="preserve">73,46</w:t>
            </w:r>
          </w:p>
        </w:tc>
        <w:tc>
          <w:tcPr/>
          <w:p>
            <w:pPr>
              <w:pStyle w:val="Compact"/>
            </w:pPr>
            <w:r>
              <w:t xml:space="preserve">65,39</w:t>
            </w:r>
          </w:p>
        </w:tc>
        <w:tc>
          <w:tcPr/>
          <w:p>
            <w:pPr>
              <w:pStyle w:val="Compact"/>
            </w:pPr>
            <w:r>
              <w:t xml:space="preserve">66,58</w:t>
            </w:r>
          </w:p>
        </w:tc>
        <w:tc>
          <w:tcPr/>
          <w:p>
            <w:pPr>
              <w:pStyle w:val="Compact"/>
            </w:pPr>
            <w:r>
              <w:t xml:space="preserve">67,40</w:t>
            </w:r>
          </w:p>
        </w:tc>
        <w:tc>
          <w:tcPr/>
          <w:p>
            <w:pPr>
              <w:pStyle w:val="Compact"/>
            </w:pPr>
            <w:r>
              <w:t xml:space="preserve">67,77</w:t>
            </w:r>
          </w:p>
        </w:tc>
        <w:tc>
          <w:tcPr/>
          <w:p>
            <w:pPr>
              <w:pStyle w:val="Compact"/>
            </w:pPr>
            <w:r>
              <w:t xml:space="preserve">68,121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 (por cenário)</w:t>
            </w:r>
          </w:p>
        </w:tc>
        <w:tc>
          <w:tcPr/>
          <w:p>
            <w:pPr>
              <w:pStyle w:val="Compact"/>
            </w:pPr>
            <w:r>
              <w:t xml:space="preserve">60,0 / 51,5 / 51,0 / 52,7 / 54,6</w:t>
            </w:r>
          </w:p>
        </w:tc>
        <w:tc>
          <w:tcPr/>
          <w:p>
            <w:pPr>
              <w:pStyle w:val="Compact"/>
            </w:pPr>
            <w:r>
              <w:t xml:space="preserve">73,95</w:t>
            </w:r>
          </w:p>
        </w:tc>
        <w:tc>
          <w:tcPr/>
          <w:p>
            <w:pPr>
              <w:pStyle w:val="Compact"/>
            </w:pPr>
            <w:r>
              <w:t xml:space="preserve">65,47</w:t>
            </w:r>
          </w:p>
        </w:tc>
        <w:tc>
          <w:tcPr/>
          <w:p>
            <w:pPr>
              <w:pStyle w:val="Compact"/>
            </w:pPr>
            <w:r>
              <w:t xml:space="preserve">66,70</w:t>
            </w:r>
          </w:p>
        </w:tc>
        <w:tc>
          <w:tcPr/>
          <w:p>
            <w:pPr>
              <w:pStyle w:val="Compact"/>
            </w:pPr>
            <w:r>
              <w:t xml:space="preserve">67,44</w:t>
            </w:r>
          </w:p>
        </w:tc>
        <w:tc>
          <w:tcPr/>
          <w:p>
            <w:pPr>
              <w:pStyle w:val="Compact"/>
            </w:pPr>
            <w:r>
              <w:t xml:space="preserve">67,77</w:t>
            </w:r>
          </w:p>
        </w:tc>
        <w:tc>
          <w:tcPr/>
          <w:p>
            <w:pPr>
              <w:pStyle w:val="Compact"/>
            </w:pPr>
            <w:r>
              <w:t xml:space="preserve">68,266</w:t>
            </w:r>
          </w:p>
        </w:tc>
      </w:tr>
    </w:tbl>
    <w:p>
      <w:pPr>
        <w:pStyle w:val="Fonte"/>
      </w:pPr>
      <w:r>
        <w:t xml:space="preserve">Fonte: elaborado pelo autor. Lucros em R$ milhões/ano.</w:t>
      </w:r>
    </w:p>
    <w:p>
      <w:pPr>
        <w:pStyle w:val="BodyText"/>
      </w:pPr>
      <w:r>
        <w:t xml:space="preserve">O VSS resultou em cerca de R$ 300 por ano (menos de 0,001% do RP), valor inferior à tolerância de convergência e, portanto, indistinguível de zero. A decisão obtida no ano médio coincide, para efeitos práticos, com a decisão estocástica. O EVPI foi de R$ 145 mil por ano (0,21% do RP), com limite superior de R$ 161 mil. Quase toda a perda decorre do cenário de 2021, no qual a decisão ótima com informação perfeita seria contratar toda a potência do BESS (60 MW); nos demais anos, as decisões ótimas situam-se entre 51 e 55 MW.</w:t>
      </w:r>
    </w:p>
    <w:p>
      <w:pPr>
        <w:pStyle w:val="BodyText"/>
      </w:pPr>
      <w:r>
        <w:t xml:space="preserve">Dois aspectos merecem destaque. Primeiro, embora o ano médio conduza à decisão correta, ele superestima o lucro: o valor ótimo do problema EV foi de R$ 68,89 milhões, contra R$ 68,12 milhões do EEV. A diferença, de cerca de R$ 0,8 milhão por ano, resulta da suavização dos picos e vales de preço e de irradiância pela média hora a hora, e confirma que o ano médio não deve ser usado para estimar a receita do empreendimento. Segundo, os baixos valores de VSS e de EVPI indicam que a incerteza modelada — a variação de preço e de geração entre anos — tem pouco efeito sobre a decisão de contratação. As seções seguintes mostram que outras hipóteses, não representadas nos cenários, têm efeito muito maior.</w:t>
      </w:r>
    </w:p>
    <w:bookmarkEnd w:id="17"/>
    <w:bookmarkStart w:id="21" w:name="curva-de-oferta-no-leilão"/>
    <w:p>
      <w:pPr>
        <w:pStyle w:val="Heading2"/>
      </w:pPr>
      <w:r>
        <w:t xml:space="preserve">4.4 Curva de oferta no leilão</w:t>
      </w:r>
    </w:p>
    <w:p>
      <w:pPr>
        <w:pStyle w:val="FirstParagraph"/>
      </w:pPr>
      <w:r>
        <w:t xml:space="preserve">A Figura 4.3 apresenta o resultado do procedimento da Seção 3.8 para os cinco casos de contrato de hidrogênio e de importação do Quadro 3.2. No caso de referência (curvas em azul), o custo de oportunidade marginal cresce de forma acentuada com a potência contratada: até 37,5 MW, cada MW adicional custa menos de R$ 100 mil/(MW·ano), enquanto os últimos 5 MW custam entre R$ 760 mil e R$ 900 mil/(MW·ano) (Figura 4.3(b)). A receita mínima de entrada é de R$ 76 mil/(MW·ano) e a receita necessária para ofertar toda a potência do BESS é de R$ 895 mil/(MW·ano).</w:t>
      </w:r>
    </w:p>
    <w:p>
      <w:pPr>
        <w:pStyle w:val="Legenda"/>
      </w:pPr>
      <w:r>
        <w:t xml:space="preserve">Figura 4.3 – Curva de oferta no LRCAP para os casos de contrato de hidrogênio e de importação: (a) perda de lucro operacional esperado; (b) custo de oportunidade marginal; (c) potência ótima em função da receita fixa</w:t>
      </w:r>
    </w:p>
    <w:p>
      <w:pPr>
        <w:pStyle w:val="Figura"/>
      </w:pPr>
      <w:r>
        <w:drawing>
          <wp:inline>
            <wp:extent cx="5334000" cy="163576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../figuras/curva_oferta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O formato da curva decorre da divisão do BESS entre os módulos. Até cerca de 37,5 MW contratados, o módulo mercantil retém energia e potência suficientes para deslocar a geração FV excedente para o eletrolisador nas horas noturnas, e a contratação adicional retira apenas a capacidade de menor valor. A partir desse ponto, cada MW contratado reduz em 4,8 MWh a energia e em 1 MW a potência do módulo mercantil, que se aproxima de zero quando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 </w:t>
      </w:r>
      <w:r>
        <w:t xml:space="preserve">tende a 60 MW, e o eletrolisador deixa de operar à noite. A Figura 4.3(c) traduz essa relação em uma curva de oferta escalonada: para receitas entre R$ 80 mil e R$ 300 mil/(MW·ano), o empreendedor ofertaria entre 35 e 42,5 MW; para R$ 600 mil, 55 MW; e somente acima de cerca de R$ 900 mil ofertaria toda a capacidade.</w:t>
      </w:r>
    </w:p>
    <w:p>
      <w:pPr>
        <w:pStyle w:val="BodyText"/>
      </w:pPr>
      <w:r>
        <w:t xml:space="preserve">Esse resultado tem duas implicações para o proponente. A decisão de participar do leilão é robusta, pois o limiar de entrada é baixo em todos os casos avaliados (R$ 76 mil a R$ 96 mil/(MW·ano)), muito inferior a qualquer receita fixa plausível para sistemas de armazenamento. Por outro lado, a quantidade a ofertar acima de cerca de 40 MW é sensível tanto ao preço quanto às hipóteses sobre o hidrogênio, como mostra a seção seguinte.</w:t>
      </w:r>
    </w:p>
    <w:bookmarkEnd w:id="21"/>
    <w:bookmarkStart w:id="22" w:name="Xecdbf8e9b0c8cf7cf478028b36aa5fe92ae5811"/>
    <w:p>
      <w:pPr>
        <w:pStyle w:val="Heading2"/>
      </w:pPr>
      <w:r>
        <w:t xml:space="preserve">4.5 Contrato de hidrogênio e importação de energia</w:t>
      </w:r>
    </w:p>
    <w:p>
      <w:pPr>
        <w:pStyle w:val="FirstParagraph"/>
      </w:pPr>
      <w:r>
        <w:t xml:space="preserve">A Tabela 4.4 resume, para a receita fixa de referência, a potência ótima, o lucro e a operação média de cada caso.</w:t>
      </w:r>
    </w:p>
    <w:p>
      <w:pPr>
        <w:pStyle w:val="Legenda"/>
      </w:pPr>
      <w:r>
        <w:t xml:space="preserve">Tabela 4.4 – Potência ótima, lucro e operação média nos casos de contrato de hidrogênio e de importação (receita fixa de R$ 600 mil/(MW·ano))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056"/>
        <w:gridCol w:w="1056"/>
        <w:gridCol w:w="1056"/>
        <w:gridCol w:w="1056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Contrato 2 t/dia</w:t>
            </w:r>
          </w:p>
        </w:tc>
        <w:tc>
          <w:tcPr/>
          <w:p>
            <w:pPr>
              <w:pStyle w:val="Compact"/>
            </w:pPr>
            <w:r>
              <w:t xml:space="preserve">Contrato 3 t/dia</w:t>
            </w:r>
          </w:p>
        </w:tc>
        <w:tc>
          <w:tcPr/>
          <w:p>
            <w:pPr>
              <w:pStyle w:val="Compact"/>
            </w:pPr>
            <w:r>
              <w:t xml:space="preserve">Importação</w:t>
            </w:r>
          </w:p>
        </w:tc>
        <w:tc>
          <w:tcPr/>
          <w:p>
            <w:pPr>
              <w:pStyle w:val="Compact"/>
            </w:pPr>
            <w:r>
              <w:t xml:space="preserve">Importação e contrato 3 t/dia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Potência ótima (MW)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Lucro esperado (R$ mi/ano)</w:t>
            </w:r>
          </w:p>
        </w:tc>
        <w:tc>
          <w:tcPr/>
          <w:p>
            <w:pPr>
              <w:pStyle w:val="Compact"/>
            </w:pPr>
            <w:r>
              <w:t xml:space="preserve">68,1</w:t>
            </w:r>
          </w:p>
        </w:tc>
        <w:tc>
          <w:tcPr/>
          <w:p>
            <w:pPr>
              <w:pStyle w:val="Compact"/>
            </w:pPr>
            <w:r>
              <w:t xml:space="preserve">61,3</w:t>
            </w:r>
          </w:p>
        </w:tc>
        <w:tc>
          <w:tcPr/>
          <w:p>
            <w:pPr>
              <w:pStyle w:val="Compact"/>
            </w:pPr>
            <w:r>
              <w:t xml:space="preserve">64,3</w:t>
            </w:r>
          </w:p>
        </w:tc>
        <w:tc>
          <w:tcPr/>
          <w:p>
            <w:pPr>
              <w:pStyle w:val="Compact"/>
            </w:pPr>
            <w:r>
              <w:t xml:space="preserve">88,5</w:t>
            </w:r>
          </w:p>
        </w:tc>
        <w:tc>
          <w:tcPr/>
          <w:p>
            <w:pPr>
              <w:pStyle w:val="Compact"/>
            </w:pPr>
            <w:r>
              <w:t xml:space="preserve">68,8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no MCP (R$ mi/ano)</w:t>
            </w:r>
          </w:p>
        </w:tc>
        <w:tc>
          <w:tcPr/>
          <w:p>
            <w:pPr>
              <w:pStyle w:val="Compact"/>
            </w:pPr>
            <w:r>
              <w:t xml:space="preserve">5,1</w:t>
            </w:r>
          </w:p>
        </w:tc>
        <w:tc>
          <w:tcPr/>
          <w:p>
            <w:pPr>
              <w:pStyle w:val="Compac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  <w:r>
              <w:t xml:space="preserve">4,1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de H₂ (R$ mi/ano)</w:t>
            </w:r>
          </w:p>
        </w:tc>
        <w:tc>
          <w:tcPr/>
          <w:p>
            <w:pPr>
              <w:pStyle w:val="Compact"/>
            </w:pPr>
            <w:r>
              <w:t xml:space="preserve">36,0</w:t>
            </w:r>
          </w:p>
        </w:tc>
        <w:tc>
          <w:tcPr/>
          <w:p>
            <w:pPr>
              <w:pStyle w:val="Compact"/>
            </w:pPr>
            <w:r>
              <w:t xml:space="preserve">25,1</w:t>
            </w:r>
          </w:p>
        </w:tc>
        <w:tc>
          <w:tcPr/>
          <w:p>
            <w:pPr>
              <w:pStyle w:val="Compact"/>
            </w:pPr>
            <w:r>
              <w:t xml:space="preserve">36,2</w:t>
            </w:r>
          </w:p>
        </w:tc>
        <w:tc>
          <w:tcPr/>
          <w:p>
            <w:pPr>
              <w:pStyle w:val="Compact"/>
            </w:pPr>
            <w:r>
              <w:t xml:space="preserve">89,4</w:t>
            </w:r>
          </w:p>
        </w:tc>
        <w:tc>
          <w:tcPr/>
          <w:p>
            <w:pPr>
              <w:pStyle w:val="Compact"/>
            </w:pPr>
            <w:r>
              <w:t xml:space="preserve">38,3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de importação (R$ mi/ano)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34,7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Energia exportada (GWh/ano)</w:t>
            </w:r>
          </w:p>
        </w:tc>
        <w:tc>
          <w:tcPr/>
          <w:p>
            <w:pPr>
              <w:pStyle w:val="Compact"/>
            </w:pPr>
            <w:r>
              <w:t xml:space="preserve">19,4</w:t>
            </w:r>
          </w:p>
        </w:tc>
        <w:tc>
          <w:tcPr/>
          <w:p>
            <w:pPr>
              <w:pStyle w:val="Compact"/>
            </w:pPr>
            <w:r>
              <w:t xml:space="preserve">37,4</w:t>
            </w:r>
          </w:p>
        </w:tc>
        <w:tc>
          <w:tcPr/>
          <w:p>
            <w:pPr>
              <w:pStyle w:val="Compact"/>
            </w:pPr>
            <w:r>
              <w:t xml:space="preserve">19,4</w:t>
            </w:r>
          </w:p>
        </w:tc>
        <w:tc>
          <w:tcPr/>
          <w:p>
            <w:pPr>
              <w:pStyle w:val="Compact"/>
            </w:pPr>
            <w:r>
              <w:t xml:space="preserve">28,2</w:t>
            </w:r>
          </w:p>
        </w:tc>
        <w:tc>
          <w:tcPr/>
          <w:p>
            <w:pPr>
              <w:pStyle w:val="Compact"/>
            </w:pPr>
            <w:r>
              <w:t xml:space="preserve">25,5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Energia importada (GWh/ano)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91,8</w:t>
            </w:r>
          </w:p>
        </w:tc>
        <w:tc>
          <w:tcPr/>
          <w:p>
            <w:pPr>
              <w:pStyle w:val="Compact"/>
            </w:pPr>
            <w:r>
              <w:t xml:space="preserve">8,9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H₂ vendido (t/ano)</w:t>
            </w:r>
          </w:p>
        </w:tc>
        <w:tc>
          <w:tcPr/>
          <w:p>
            <w:pPr>
              <w:pStyle w:val="Compact"/>
            </w:pPr>
            <w:r>
              <w:t xml:space="preserve">1.029</w:t>
            </w:r>
          </w:p>
        </w:tc>
        <w:tc>
          <w:tcPr/>
          <w:p>
            <w:pPr>
              <w:pStyle w:val="Compact"/>
            </w:pPr>
            <w:r>
              <w:t xml:space="preserve">719</w:t>
            </w:r>
          </w:p>
        </w:tc>
        <w:tc>
          <w:tcPr/>
          <w:p>
            <w:pPr>
              <w:pStyle w:val="Compact"/>
            </w:pPr>
            <w:r>
              <w:t xml:space="preserve">1.035</w:t>
            </w:r>
          </w:p>
        </w:tc>
        <w:tc>
          <w:tcPr/>
          <w:p>
            <w:pPr>
              <w:pStyle w:val="Compact"/>
            </w:pPr>
            <w:r>
              <w:t xml:space="preserve">2.553</w:t>
            </w:r>
          </w:p>
        </w:tc>
        <w:tc>
          <w:tcPr/>
          <w:p>
            <w:pPr>
              <w:pStyle w:val="Compact"/>
            </w:pPr>
            <w:r>
              <w:t xml:space="preserve">1.096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Déficit contratual de H₂ (t/ano)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11,9</w:t>
            </w:r>
          </w:p>
        </w:tc>
        <w:tc>
          <w:tcPr/>
          <w:p>
            <w:pPr>
              <w:pStyle w:val="Compact"/>
            </w:pPr>
            <w:r>
              <w:t xml:space="preserve">61,0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Fator de capacidade do eletrolisador</w:t>
            </w:r>
          </w:p>
        </w:tc>
        <w:tc>
          <w:tcPr/>
          <w:p>
            <w:pPr>
              <w:pStyle w:val="Compact"/>
            </w:pPr>
            <w:r>
              <w:t xml:space="preserve">0,37</w:t>
            </w:r>
          </w:p>
        </w:tc>
        <w:tc>
          <w:tcPr/>
          <w:p>
            <w:pPr>
              <w:pStyle w:val="Compact"/>
            </w:pPr>
            <w:r>
              <w:t xml:space="preserve">0,26</w:t>
            </w:r>
          </w:p>
        </w:tc>
        <w:tc>
          <w:tcPr/>
          <w:p>
            <w:pPr>
              <w:pStyle w:val="Compact"/>
            </w:pPr>
            <w:r>
              <w:t xml:space="preserve">0,37</w:t>
            </w:r>
          </w:p>
        </w:tc>
        <w:tc>
          <w:tcPr/>
          <w:p>
            <w:pPr>
              <w:pStyle w:val="Compact"/>
            </w:pPr>
            <w:r>
              <w:t xml:space="preserve">0,92</w:t>
            </w:r>
          </w:p>
        </w:tc>
        <w:tc>
          <w:tcPr/>
          <w:p>
            <w:pPr>
              <w:pStyle w:val="Compact"/>
            </w:pPr>
            <w:r>
              <w:t xml:space="preserve">0,39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mínima de entrada (R$ mil/MW·ano)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marginal do último MW (R$ mil/MW·ano)</w:t>
            </w:r>
          </w:p>
        </w:tc>
        <w:tc>
          <w:tcPr/>
          <w:p>
            <w:pPr>
              <w:pStyle w:val="Compact"/>
            </w:pPr>
            <w:r>
              <w:t xml:space="preserve">895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1.753</w:t>
            </w:r>
          </w:p>
        </w:tc>
        <w:tc>
          <w:tcPr/>
          <w:p>
            <w:pPr>
              <w:pStyle w:val="Compact"/>
            </w:pPr>
            <w:r>
              <w:t xml:space="preserve">474</w:t>
            </w:r>
          </w:p>
        </w:tc>
        <w:tc>
          <w:tcPr/>
          <w:p>
            <w:pPr>
              <w:pStyle w:val="Compact"/>
            </w:pPr>
            <w:r>
              <w:t xml:space="preserve">367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rPr>
          <w:b/>
          <w:bCs/>
        </w:rPr>
        <w:t xml:space="preserve">Contrato de 2 t/dia.</w:t>
      </w:r>
      <w:r>
        <w:t xml:space="preserve"> </w:t>
      </w:r>
      <w:r>
        <w:t xml:space="preserve">Com um volume diário inferior à produção do caso de referência, o hidrogênio excedente não encontra comprador e a energia correspondente é exportada ao MCP, cuja energia praticamente dobra (de 19,4 para 37,4 GWh). O módulo mercantil perde a função de abastecer o eletrolisador à noite, e seu valor passa a ser o da arbitragem de preços no MCP, muito inferior. O custo de oportunidade do último MW cai de R$ 895 mil para R$ 228 mil/(MW·ano), e o ótimo passa a ser contratar toda a potência. O lucro diminui R$ 6,8 milhões por ano em relação ao caso de referência, refletindo a menor venda de hidrogênio.</w:t>
      </w:r>
    </w:p>
    <w:p>
      <w:pPr>
        <w:pStyle w:val="BodyText"/>
      </w:pPr>
      <w:r>
        <w:rPr>
          <w:b/>
          <w:bCs/>
        </w:rPr>
        <w:t xml:space="preserve">Contrato de 3 t/dia.</w:t>
      </w:r>
      <w:r>
        <w:t xml:space="preserve"> </w:t>
      </w:r>
      <w:r>
        <w:t xml:space="preserve">Com um volume próximo da produção média do caso de referência, porém firme em todos os dias, o BESS passa a garantir a entrega nos dias e nas horas de menor geração. Mesmo assim, há um déficit de 61 t por ano (5,6% do volume contratado), concentrado nos períodos de menor irradiância, e a multa correspondente, de R$ 2,1 milhões por ano, explica a maior parte da redução do lucro. A curva de custo de oportunidade torna-se ainda mais íngreme no extremo superior: o último MW custa R$ 1,75 milhão/(MW·ano), pois sua contratação aumentaria o déficit. A potência ótima permanece em 55 MW.</w:t>
      </w:r>
    </w:p>
    <w:p>
      <w:pPr>
        <w:pStyle w:val="BodyText"/>
      </w:pPr>
      <w:r>
        <w:rPr>
          <w:b/>
          <w:bCs/>
        </w:rPr>
        <w:t xml:space="preserve">Importação de energia.</w:t>
      </w:r>
      <w:r>
        <w:t xml:space="preserve"> </w:t>
      </w:r>
      <w:r>
        <w:t xml:space="preserve">Quando a importação é permitida, o eletrolisador é suprido pela rede nas horas de PLD baixo, inclusive à noite, e seu fator de capacidade sobe de 0,37 para 0,92. A produção de hidrogênio mais que dobra e o lucro aumenta R$ 20,4 milhões por ano, mesmo com o custo adicional de R$ 250/MWh sobre a energia importada. Como a rede substitui o BESS no suprimento noturno do eletrolisador, o módulo mercantil perde valor e o ótimo passa a ser contratar toda a potência. Cerca de 65% da energia consumida pelo eletrolisador provém da rede nesse caso, o que torna a qualificação do hidrogênio dependente do critério regulatório adotado — de intensidade de emissões ou de origem física da energia.</w:t>
      </w:r>
    </w:p>
    <w:p>
      <w:pPr>
        <w:pStyle w:val="BodyText"/>
      </w:pPr>
      <w:r>
        <w:rPr>
          <w:b/>
          <w:bCs/>
        </w:rPr>
        <w:t xml:space="preserve">Importação com contrato de 3 t/dia.</w:t>
      </w:r>
      <w:r>
        <w:t xml:space="preserve"> </w:t>
      </w:r>
      <w:r>
        <w:t xml:space="preserve">A combinação das duas hipóteses mostra que o ganho da importação depende da existência de demanda: com o volume limitado pelo contrato, a importação restringe-se a 8,9 GWh por ano, usados para eliminar o déficit de entrega, e o lucro supera o do caso de referência em apenas R$ 0,7 milhão por ano.</w:t>
      </w:r>
    </w:p>
    <w:p>
      <w:pPr>
        <w:pStyle w:val="BodyText"/>
      </w:pPr>
      <w:r>
        <w:t xml:space="preserve">Esses resultados indicam que a arbitragem entre o LRCAP e o MCP, que dá título a este trabalho, só se manifesta plenamente quando a demanda de hidrogênio é limitada. Sem limite de volume, a troca relevante é entre o LRCAP e a produção de hidrogênio, mediada pelo módulo mercantil do BESS; a regra de suprimento do eletrolisador é, entre as hipóteses avaliadas, a de maior efeito sobre o lucro.</w:t>
      </w:r>
    </w:p>
    <w:bookmarkEnd w:id="22"/>
    <w:bookmarkStart w:id="26" w:name="frequência-do-despacho-do-ons"/>
    <w:p>
      <w:pPr>
        <w:pStyle w:val="Heading2"/>
      </w:pPr>
      <w:r>
        <w:t xml:space="preserve">4.6 Frequência do despacho do ONS</w:t>
      </w:r>
    </w:p>
    <w:p>
      <w:pPr>
        <w:pStyle w:val="FirstParagraph"/>
      </w:pPr>
      <w:r>
        <w:t xml:space="preserve">A Figura 4.4 e a Tabela 4.5 apresentam a curva de oferta do caso de referência para 50, 150 e 365 despachos por ano.</w:t>
      </w:r>
    </w:p>
    <w:p>
      <w:pPr>
        <w:pStyle w:val="Legenda"/>
      </w:pPr>
      <w:r>
        <w:t xml:space="preserve">Figura 4.4 – Curva de oferta no LRCAP para diferentes frequências de despacho do ONS: (a) perda de lucro operacional esperado; (b) custo de oportunidade marginal; (c) potência ótima em função da receita fixa</w:t>
      </w:r>
    </w:p>
    <w:p>
      <w:pPr>
        <w:pStyle w:val="Figura"/>
      </w:pPr>
      <w:r>
        <w:drawing>
          <wp:inline>
            <wp:extent cx="5334000" cy="163576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figuras/curva_oferta_ciclo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Legenda"/>
      </w:pPr>
      <w:r>
        <w:t xml:space="preserve">Tabela 4.5 – Efeito da frequência do despacho do ONS (receita fixa de R$ 600 mil/(MW·ano))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Despachos por ano</w:t>
            </w:r>
          </w:p>
        </w:tc>
        <w:tc>
          <w:tcPr/>
          <w:p>
            <w:pPr>
              <w:pStyle w:val="Compact"/>
            </w:pPr>
            <w:r>
              <w:t xml:space="preserve">Potência ótima (MW)</w:t>
            </w:r>
          </w:p>
        </w:tc>
        <w:tc>
          <w:tcPr/>
          <w:p>
            <w:pPr>
              <w:pStyle w:val="Compact"/>
            </w:pPr>
            <w:r>
              <w:t xml:space="preserve">Lucro esperado (R$ mi/ano)</w:t>
            </w:r>
          </w:p>
        </w:tc>
        <w:tc>
          <w:tcPr/>
          <w:p>
            <w:pPr>
              <w:pStyle w:val="Compact"/>
            </w:pPr>
            <w:r>
              <w:t xml:space="preserve">Degradação do BESS (R$ mi/ano)</w:t>
            </w:r>
          </w:p>
        </w:tc>
        <w:tc>
          <w:tcPr/>
          <w:p>
            <w:pPr>
              <w:pStyle w:val="Compact"/>
            </w:pPr>
            <w:r>
              <w:t xml:space="preserve">Receita mínima de entrada (R$ mil/MW·ano)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71,6</w:t>
            </w:r>
          </w:p>
        </w:tc>
        <w:tc>
          <w:tcPr/>
          <w:p>
            <w:pPr>
              <w:pStyle w:val="Compac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70,5</w:t>
            </w:r>
          </w:p>
        </w:tc>
        <w:tc>
          <w:tcPr/>
          <w:p>
            <w:pPr>
              <w:pStyle w:val="Compac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68,1</w:t>
            </w:r>
          </w:p>
        </w:tc>
        <w:tc>
          <w:tcPr/>
          <w:p>
            <w:pPr>
              <w:pStyle w:val="Compac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As receitas no MCP e com hidrogênio são idênticas nos três casos, de modo que a frequência do despacho não altera a operação do lado mercantil. A única diferença está no custo de degradação do módulo LRCAP, e as curvas de custo de oportunidade marginal da Figura 4.4(b) são deslocadas em paralelo por exatamente</w:t>
      </w:r>
      <w:r>
        <w:t xml:space="preserve"> </w:t>
      </w:r>
      <m:oMath>
        <m:sSup>
          <m:e>
            <m:r>
              <m:t>c</m:t>
            </m:r>
          </m:e>
          <m:sup>
            <m:r>
              <m:t>d</m:t>
            </m:r>
            <m:r>
              <m:t>e</m:t>
            </m:r>
            <m:r>
              <m:t>g</m:t>
            </m:r>
          </m:sup>
        </m:sSup>
        <m:sSup>
          <m:e>
            <m:r>
              <m:t>H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Δ</m:t>
        </m:r>
        <m:sSup>
          <m:e>
            <m:r>
              <m:t>N</m:t>
            </m:r>
          </m:e>
          <m:sup>
            <m:r>
              <m:t>o</m:t>
            </m:r>
            <m:r>
              <m:t>n</m:t>
            </m:r>
            <m:r>
              <m:t>s</m:t>
            </m:r>
          </m:sup>
        </m:sSup>
      </m:oMath>
      <w:r>
        <w:t xml:space="preserve">: R$ 43 mil/(MW·ano) entre 150 e 365 despachos e R$ 63 mil/(MW·ano) entre 50 e 365 despachos, como previsto pela Equação (3.41). O efeito do ponto de conexão compartilhado mostrou-se, portanto, desprezível.</w:t>
      </w:r>
    </w:p>
    <w:p>
      <w:pPr>
        <w:pStyle w:val="BodyText"/>
      </w:pPr>
      <w:r>
        <w:t xml:space="preserve">Em consequência, a frequência do despacho, embora desconhecida, não altera a potência ótima para a receita de referência e afeta apenas o limiar de entrada e o lucro. Como seu efeito é linear e pode ser calculado diretamente, sem simulação, essa incerteza pode ser incorporada à análise como um custo por MW contratado — por exemplo, como componente do lance mínimo —, sem a necessidade de cenários adicionais no modelo de operação.</w:t>
      </w:r>
    </w:p>
    <w:bookmarkEnd w:id="26"/>
    <w:bookmarkStart w:id="33" w:name="X5d7116e36aa75b714ebe85263b9b5917fb83cc3"/>
    <w:p>
      <w:pPr>
        <w:pStyle w:val="Heading2"/>
      </w:pPr>
      <w:r>
        <w:t xml:space="preserve">4.7 Sensibilidade à receita fixa e ao preço do hidrogênio</w:t>
      </w:r>
    </w:p>
    <w:p>
      <w:pPr>
        <w:pStyle w:val="FirstParagraph"/>
      </w:pPr>
      <w:r>
        <w:t xml:space="preserve">Como a receita fixa do LRCAP e o preço do hidrogênio não possuem referências consolidadas, o caso determinístico de 2025 foi resolvido para 48 combinações desses parâmetros: seis valores de receita fixa, entre R$ 330 mil e R$ 2,33 milhões/(MW·ano), e oito preços de hidrogênio, entre R$ 10 e R$ 45/kg. Os valores de receita fixa foram escolhidos a partir das quatro referências discutidas na Seção 3.5, sintetizadas no Quadro 4.1.</w:t>
      </w:r>
    </w:p>
    <w:p>
      <w:pPr>
        <w:pStyle w:val="Legenda"/>
      </w:pPr>
      <w:r>
        <w:t xml:space="preserve">Quadro 4.1 – Referências para a faixa de receita fixa avaliada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Receita fixa (R$/MW·ano)</w:t>
            </w:r>
          </w:p>
        </w:tc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330 mil</w:t>
            </w:r>
          </w:p>
        </w:tc>
        <w:tc>
          <w:tcPr/>
          <w:p>
            <w:pPr>
              <w:pStyle w:val="Compact"/>
            </w:pPr>
            <w:r>
              <w:t xml:space="preserve">Primeiro leilão do MACSE, Itália, 30/09/2025: preço médio de € 12.959/(MWh·ano) para sistemas de baterias de íons de lítio, contratos de 15 anos (TERNA, 2025)</w:t>
            </w:r>
          </w:p>
        </w:tc>
        <w:tc>
          <w:tcPr/>
          <w:p>
            <w:pPr>
              <w:pStyle w:val="Compact"/>
            </w:pPr>
            <w:r>
              <w:t xml:space="preserve">Convertido para um sistema de 4 h (€ 51.836/(MW·ano)) com a PTAX de 30/09/2025 (R$ 6,2396/€), o que resulta em R$ 323 mil; arredondado na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830 mil</w:t>
            </w:r>
          </w:p>
        </w:tc>
        <w:tc>
          <w:tcPr/>
          <w:p>
            <w:pPr>
              <w:pStyle w:val="Compact"/>
            </w:pPr>
            <w:r>
              <w:t xml:space="preserve">Leilão nº 3/2026-ANEEL (LRCAP), 20/03/2026: 501,3 MW de termelétricas existentes a óleo e biodiesel, preço médio de R$ 831.251,52/(MW·ano), deságio de 50,1% (CCEE, 2026c)</w:t>
            </w:r>
          </w:p>
        </w:tc>
        <w:tc>
          <w:tcPr/>
          <w:p>
            <w:pPr>
              <w:pStyle w:val="Compact"/>
            </w:pPr>
            <w:r>
              <w:t xml:space="preserve">Usinas existentes, sem investimento novo: piso de referência para o produto potência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 e 1,5 mi</w:t>
            </w:r>
          </w:p>
        </w:tc>
        <w:tc>
          <w:tcPr/>
          <w:p>
            <w:pPr>
              <w:pStyle w:val="Compact"/>
            </w:pPr>
            <w:r>
              <w:t xml:space="preserve">CAPEX de referência de sistemas de baterias de R$ 5.000 a 6.000/kW (BRASIL; EPE, 2025)</w:t>
            </w:r>
          </w:p>
        </w:tc>
        <w:tc>
          <w:tcPr/>
          <w:p>
            <w:pPr>
              <w:pStyle w:val="Compact"/>
            </w:pPr>
            <w:r>
              <w:t xml:space="preserve">A anualização do CAPEX a 10% a.a. em 15 anos resulta em R$ 657 mil a R$ 789 mil/(MW·ano); os valores da grade acrescentam O&amp;M, encargos, tributos e reposição de módulos para manter a disponibilidade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2,33 mi</w:t>
            </w:r>
          </w:p>
        </w:tc>
        <w:tc>
          <w:tcPr/>
          <w:p>
            <w:pPr>
              <w:pStyle w:val="Compact"/>
            </w:pPr>
            <w:r>
              <w:t xml:space="preserve">Leilão nº 2/2026-ANEEL (LRCAP), 18/03/2026: 18,97 GW de termelétricas a gás natural, biometano e carvão e ampliações de hidrelétricas, novas e existentes, preço médio de R$ 2,334 milhões/(MW·ano), deságio de 5,5% (CCEE, 2026b)</w:t>
            </w:r>
          </w:p>
        </w:tc>
        <w:tc>
          <w:tcPr/>
          <w:p>
            <w:pPr>
              <w:pStyle w:val="Compact"/>
            </w:pPr>
            <w:r>
              <w:t xml:space="preserve">Custo de atender à mesma necessidade de potência com a expansão térmica e hidrelétrica: teto de referência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O valor de R$ 600 mil/(MW·ano), adotado no caso de referência, situa-se, portanto, abaixo do preço obtido por usinas existentes no LRCAP de 2026 e abaixo do custo anualizado de investimento em baterias, e deve ser interpretado como hipótese conservadora para a receita fixa. Cada combinação foi resolvida pelo método de Benders, com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máximo de 0,11%. Os resultados são apresentados na Figura 4.5.</w:t>
      </w:r>
    </w:p>
    <w:p>
      <w:pPr>
        <w:pStyle w:val="Legenda"/>
      </w:pPr>
      <w:r>
        <w:t xml:space="preserve">Figura 4.5 – Potência ótima no LRCAP e lucro anual em função da receita fixa e do preço do hidrogênio (caso determinístico de 2025)</w:t>
      </w:r>
    </w:p>
    <w:p>
      <w:pPr>
        <w:pStyle w:val="Figura"/>
      </w:pPr>
      <w:r>
        <w:drawing>
          <wp:inline>
            <wp:extent cx="5334000" cy="206248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figuras/mapa_sensibilidade_potencia_lucro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Em nenhuma das combinações é vantajoso deixar de participar do leilão: a potência ótima varia entre 43,8 e 60 MW. Com receita fixa igual ou superior a R$ 1,5 milhão/(MW·ano), o ótimo é contratar toda a potência do BESS para qualquer preço de hidrogênio da faixa avaliada. Para preços de hidrogênio de até R$ 20/kg, o ótimo também é contratar toda a potência, independentemente da receita fixa, pois o valor da energia no eletrolisador, de até R$ 336/MWh, já não justifica reservar o BESS para abastecê-lo. A região em que o ótimo é inferior a 60 MW concentra-se nas combinações de receita fixa baixa e preço de hidrogênio alto, e sua fronteira se desloca para preços maiores à medida que a receita fixa aumenta: a potência ótima deixa de ser 60 MW a partir de R$ 25/kg com receita de R$ 330 mil, de R$ 30/kg com R$ 600 mil, de R$ 40/kg com R$ 830 mil e de R$ 45/kg com R$ 1,0 milhão/(MW·ano).</w:t>
      </w:r>
    </w:p>
    <w:p>
      <w:pPr>
        <w:pStyle w:val="BodyText"/>
      </w:pPr>
      <w:r>
        <w:t xml:space="preserve">O fator de capacidade do eletrolisador acompanha esse comportamento: com hidrogênio a R$ 10/kg, o eletrolisador opera apenas com a geração FV que não encontra uso mais valioso no MCP (fator de capacidade de 0,17); a partir de R$ 25/kg, ele absorve praticamente toda a geração FV (0,34) e, quando parte do BESS permanece no lado mercantil, também opera à noite (até 0,46).</w:t>
      </w:r>
    </w:p>
    <w:p>
      <w:pPr>
        <w:pStyle w:val="BodyText"/>
      </w:pPr>
      <w:r>
        <w:t xml:space="preserve">Para avaliar o custo de uma decisão tomada sob incerteza quanto a esses parâmetros, calculou-se o arrependimento de contratar 54,4 MW — o ótimo do caso de referência —, definido como a diferença entre o lucro ótimo de cada combinação e o lucro obtido com essa potência (Figura 4.6).</w:t>
      </w:r>
    </w:p>
    <w:p>
      <w:pPr>
        <w:pStyle w:val="Legenda"/>
      </w:pPr>
      <w:r>
        <w:t xml:space="preserve">Figura 4.6 – Arrependimento de contratar 54,4 MW em função da receita fixa e do preço do hidrogênio (caso determinístico de 2025)</w:t>
      </w:r>
    </w:p>
    <w:p>
      <w:pPr>
        <w:pStyle w:val="Figura"/>
      </w:pPr>
      <w:r>
        <w:drawing>
          <wp:inline>
            <wp:extent cx="5334000" cy="386715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./figuras/mapa_sensibilidade_arrependiment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O arrependimento é nulo ou inferior a R$ 0,4 milhão por ano na vizinhança do caso de referência (receita de R$ 600 mil e hidrogênio entre R$ 30 e R$ 45/kg), mas cresce para até R$ 11,6 milhões por ano quando a receita fixa é elevada, situação em que contratar toda a potência seria ótimo. O arrependimento é assimétrico: subestimar a potência a contratar custa mais do que superestimá-la. Com receita de R$ 330 mil e hidrogênio a R$ 45/kg, por exemplo, contratar 54,4 MW em vez do ótimo de 43,8 MW custa R$ 2,5 milhões por ano, enquanto, com receita de R$ 1,5 milhão e hidrogênio a R$ 35/kg, contratar 54,4 MW em vez de 60 MW custa R$ 4,4 milhões por ano. Diante da incerteza sobre a receita fixa — que, no leilão, é o próprio lance —, essa assimetria favorece decisões de contratação mais próximas da potência máxima.</w:t>
      </w:r>
    </w:p>
    <w:p>
      <w:pPr>
        <w:pStyle w:val="BodyText"/>
      </w:pPr>
      <w:r>
        <w:t xml:space="preserve">Os resultados das Figuras 4.5 e 4.6 são coerentes com a curva de oferta da Seção 4.4, obtida com o modelo estocástico: a potência ótima para R$ 600 mil e hidrogênio a R$ 35/kg (54,4 MW no caso determinístico) e a receita a partir da qual se oferta toda a potência (cerca de R$ 900 mil, contra a fronteira entre R$ 830 mil e R$ 1,0 milhão no mapa) são compatíveis entre as duas análises.</w:t>
      </w:r>
    </w:p>
    <w:bookmarkEnd w:id="33"/>
    <w:bookmarkStart w:id="40" w:name="X1203ebb6f0abb2de2d21fa3870bc326cfdd3939"/>
    <w:p>
      <w:pPr>
        <w:pStyle w:val="Heading2"/>
      </w:pPr>
      <w:r>
        <w:t xml:space="preserve">4.8 Robustez: degradação, dimensionamento e decomposição</w:t>
      </w:r>
    </w:p>
    <w:p>
      <w:pPr>
        <w:pStyle w:val="FirstParagraph"/>
      </w:pPr>
      <w:r>
        <w:t xml:space="preserve">Esta seção avalia três hipóteses que poderiam alterar as conclusões anteriores: o custo de degradação do BESS, o dimensionamento do eletrolisador e do tanque de hidrogênio e as condições cíclicas impostas pela decomposição em blocos semanais.</w:t>
      </w:r>
    </w:p>
    <w:p>
      <w:pPr>
        <w:pStyle w:val="BodyText"/>
      </w:pPr>
      <w:r>
        <w:rPr>
          <w:b/>
          <w:bCs/>
        </w:rPr>
        <w:t xml:space="preserve">Custo de degradação.</w:t>
      </w:r>
      <w:r>
        <w:t xml:space="preserve"> </w:t>
      </w:r>
      <w:r>
        <w:t xml:space="preserve">A Figura 4.7 e a Tabela 4.6 apresentam a curva de oferta para custos de degradação de R$ 50, R$ 100 e R$ 200/MWh, os dois últimos próximos da faixa estimada a partir do custo de reposição dos módulos (Seção 3.5).</w:t>
      </w:r>
    </w:p>
    <w:p>
      <w:pPr>
        <w:pStyle w:val="Legenda"/>
      </w:pPr>
      <w:r>
        <w:t xml:space="preserve">Figura 4.7 – Curva de oferta no LRCAP para diferentes custos de degradação do BESS: (a) perda de lucro operacional esperado; (b) custo de oportunidade marginal; (c) potência ótima em função da receita fixa</w:t>
      </w:r>
    </w:p>
    <w:p>
      <w:pPr>
        <w:pStyle w:val="Figura"/>
      </w:pPr>
      <w:r>
        <w:drawing>
          <wp:inline>
            <wp:extent cx="5334000" cy="163576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./figuras/curva_oferta_degradacao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Legenda"/>
      </w:pPr>
      <w:r>
        <w:t xml:space="preserve">Tabela 4.6 – Efeito do custo de degradação do BESS (receita fixa de R$ 600 mil/(MW·ano))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 de degradação (R$/MWh)</w:t>
            </w:r>
          </w:p>
        </w:tc>
        <w:tc>
          <w:tcPr/>
          <w:p>
            <w:pPr>
              <w:pStyle w:val="Compact"/>
            </w:pPr>
            <w:r>
              <w:t xml:space="preserve">Potência ótima (MW)</w:t>
            </w:r>
          </w:p>
        </w:tc>
        <w:tc>
          <w:tcPr/>
          <w:p>
            <w:pPr>
              <w:pStyle w:val="Compact"/>
            </w:pPr>
            <w:r>
              <w:t xml:space="preserve">Lucro esperado (R$ mi/ano)</w:t>
            </w:r>
          </w:p>
        </w:tc>
        <w:tc>
          <w:tcPr/>
          <w:p>
            <w:pPr>
              <w:pStyle w:val="Compact"/>
            </w:pPr>
            <w:r>
              <w:t xml:space="preserve">Receita mínima de entrada (R$ mil/MW·ano)</w:t>
            </w:r>
          </w:p>
        </w:tc>
        <w:tc>
          <w:tcPr/>
          <w:p>
            <w:pPr>
              <w:pStyle w:val="Compact"/>
            </w:pPr>
            <w:r>
              <w:t xml:space="preserve">Custo marginal do último MW (R$ mil/MW·ano)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68,1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895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63,7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881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52,5</w:t>
            </w:r>
          </w:p>
        </w:tc>
        <w:tc>
          <w:tcPr/>
          <w:p>
            <w:pPr>
              <w:pStyle w:val="Compact"/>
            </w:pPr>
            <w:r>
              <w:t xml:space="preserve">54,9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854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Quadruplicar o custo de degradação reduz o lucro em R$ 13,2 milhões por ano e quase quadruplica a receita mínima de entrada, mas desloca a potência ótima em apenas 2,5 MW. A razão está na Figura 4.7(b): o custo maior eleva o custo de oportunidade na faixa inferior da curva, onde predomina o desgaste do módulo LRCAP, despachado diariamente; na faixa superior, porém, também torna mais caro o uso mercantil da bateria, que é justamente o uso perdido ao se contratar mais potência, e os dois efeitos praticamente se compensam. A decisão de quanto ofertar é, portanto, robusta ao custo de degradação, enquanto a decisão de participar e o lucro esperado são sensíveis a ele.</w:t>
      </w:r>
    </w:p>
    <w:p>
      <w:pPr>
        <w:pStyle w:val="BodyText"/>
      </w:pPr>
      <w:r>
        <w:rPr>
          <w:b/>
          <w:bCs/>
        </w:rPr>
        <w:t xml:space="preserve">Tamanho do eletrolisador.</w:t>
      </w:r>
      <w:r>
        <w:t xml:space="preserve"> </w:t>
      </w:r>
      <w:r>
        <w:t xml:space="preserve">A Figura 4.8 e a Tabela 4.7 comparam eletrolisadores de 10, 17,5 e 25 MW, mantida a usina FV de 50 MWp.</w:t>
      </w:r>
    </w:p>
    <w:p>
      <w:pPr>
        <w:pStyle w:val="Legenda"/>
      </w:pPr>
      <w:r>
        <w:t xml:space="preserve">Figura 4.8 – Curva de oferta no LRCAP para diferentes potências do eletrolisador: (a) perda de lucro operacional esperado; (b) custo de oportunidade marginal; (c) potência ótima em função da receita fixa</w:t>
      </w:r>
    </w:p>
    <w:p>
      <w:pPr>
        <w:pStyle w:val="Figura"/>
      </w:pPr>
      <w:r>
        <w:drawing>
          <wp:inline>
            <wp:extent cx="5334000" cy="163576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figuras/curva_oferta_eletrolisado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Legenda"/>
      </w:pPr>
      <w:r>
        <w:t xml:space="preserve">Tabela 4.7 – Efeito da potência do eletrolisador (receita fixa de R$ 600 mil/(MW·ano))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Eletrolisador (MW)</w:t>
            </w:r>
          </w:p>
        </w:tc>
        <w:tc>
          <w:tcPr/>
          <w:p>
            <w:pPr>
              <w:pStyle w:val="Compact"/>
            </w:pPr>
            <w:r>
              <w:t xml:space="preserve">Potência ótima (MW)</w:t>
            </w:r>
          </w:p>
        </w:tc>
        <w:tc>
          <w:tcPr/>
          <w:p>
            <w:pPr>
              <w:pStyle w:val="Compact"/>
            </w:pPr>
            <w:r>
              <w:t xml:space="preserve">Lucro esperado (R$ mi/ano)</w:t>
            </w:r>
          </w:p>
        </w:tc>
        <w:tc>
          <w:tcPr/>
          <w:p>
            <w:pPr>
              <w:pStyle w:val="Compact"/>
            </w:pPr>
            <w:r>
              <w:t xml:space="preserve">H₂ vendido (t/ano)</w:t>
            </w:r>
          </w:p>
        </w:tc>
        <w:tc>
          <w:tcPr/>
          <w:p>
            <w:pPr>
              <w:pStyle w:val="Compact"/>
            </w:pPr>
            <w:r>
              <w:t xml:space="preserve">Fator de capacidade do eletrolisador</w:t>
            </w:r>
          </w:p>
        </w:tc>
        <w:tc>
          <w:tcPr/>
          <w:p>
            <w:pPr>
              <w:pStyle w:val="Compact"/>
            </w:pPr>
            <w:r>
              <w:t xml:space="preserve">Energia exportada (GWh/ano)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60,4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0,53</w:t>
            </w:r>
          </w:p>
        </w:tc>
        <w:tc>
          <w:tcPr/>
          <w:p>
            <w:pPr>
              <w:pStyle w:val="Compact"/>
            </w:pPr>
            <w:r>
              <w:t xml:space="preserve">28,4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17,5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68,1</w:t>
            </w:r>
          </w:p>
        </w:tc>
        <w:tc>
          <w:tcPr/>
          <w:p>
            <w:pPr>
              <w:pStyle w:val="Compact"/>
            </w:pPr>
            <w:r>
              <w:t xml:space="preserve">1.029</w:t>
            </w:r>
          </w:p>
        </w:tc>
        <w:tc>
          <w:tcPr/>
          <w:p>
            <w:pPr>
              <w:pStyle w:val="Compact"/>
            </w:pPr>
            <w:r>
              <w:t xml:space="preserve">0,37</w:t>
            </w:r>
          </w:p>
        </w:tc>
        <w:tc>
          <w:tcPr/>
          <w:p>
            <w:pPr>
              <w:pStyle w:val="Compact"/>
            </w:pPr>
            <w:r>
              <w:t xml:space="preserve">19,4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57,5</w:t>
            </w:r>
          </w:p>
        </w:tc>
        <w:tc>
          <w:tcPr/>
          <w:p>
            <w:pPr>
              <w:pStyle w:val="Compact"/>
            </w:pPr>
            <w:r>
              <w:t xml:space="preserve">73,5</w:t>
            </w:r>
          </w:p>
        </w:tc>
        <w:tc>
          <w:tcPr/>
          <w:p>
            <w:pPr>
              <w:pStyle w:val="Compact"/>
            </w:pPr>
            <w:r>
              <w:t xml:space="preserve">1.175</w:t>
            </w:r>
          </w:p>
        </w:tc>
        <w:tc>
          <w:tcPr/>
          <w:p>
            <w:pPr>
              <w:pStyle w:val="Compact"/>
            </w:pPr>
            <w:r>
              <w:t xml:space="preserve">0,30</w:t>
            </w:r>
          </w:p>
        </w:tc>
        <w:tc>
          <w:tcPr/>
          <w:p>
            <w:pPr>
              <w:pStyle w:val="Compact"/>
            </w:pPr>
            <w:r>
              <w:t xml:space="preserve">11,9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O tamanho do eletrolisador altera a forma da curva de oferta. Com 25 MW, o eletrolisador absorve durante o dia a maior parte da geração FV, e o módulo mercantil tem pouco a deslocar para a noite: o custo de oportunidade permanece em torno de R$ 77 mil/(MW·ano) até 45 MW, e o ótimo para a receita de referência sobe para 57,5 MW. Com 10 MW, a geração FV excedente ao meio-dia é muito maior, a bateria mercantil é valiosa desde o mínimo regulatório e o custo de oportunidade já parte de R$ 330 mil/(MW·ano); o ótimo cai para 50 MW. A relação entre as potências do eletrolisador e da usina FV, herdada da planta da UNIFEI (0,35), é, portanto, uma hipótese de projeto com efeito relevante sobre a curva de oferta, e não apenas um parâmetro de escala.</w:t>
      </w:r>
    </w:p>
    <w:p>
      <w:pPr>
        <w:pStyle w:val="BodyText"/>
      </w:pPr>
      <w:r>
        <w:rPr>
          <w:b/>
          <w:bCs/>
        </w:rPr>
        <w:t xml:space="preserve">Tamanho do tanque.</w:t>
      </w:r>
      <w:r>
        <w:t xml:space="preserve"> </w:t>
      </w:r>
      <w:r>
        <w:t xml:space="preserve">No caso com contrato de 3 t/dia, a ampliação do tanque de hidrogênio de 2 t para 10 t não alterou o resultado: o déficit anual de entrega permaneceu em 61 t e a curva de oferta foi idêntica. O déficit decorre da capacidade de produção, e não da armazenagem: a entrega de 3 t/dia exige cerca de 9,4 h diárias de operação na potência nominal, o que não é alcançado nos dias de baixa irradiância, mesmo com o tanque capaz de acumular a produção de dias anteriores.</w:t>
      </w:r>
    </w:p>
    <w:p>
      <w:pPr>
        <w:pStyle w:val="BodyText"/>
      </w:pPr>
      <w:r>
        <w:rPr>
          <w:b/>
          <w:bCs/>
        </w:rPr>
        <w:t xml:space="preserve">Decomposição em blocos.</w:t>
      </w:r>
      <w:r>
        <w:t xml:space="preserve"> </w:t>
      </w:r>
      <w:r>
        <w:t xml:space="preserve">Para a potência de 54,44 MW, o lucro anual do caso determinístico de 2025 foi idêntico com blocos de 7, 14 e 28 dias (diferença relativa inferior 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). Refeita a decomposição com blocos de 14 dias, o algoritmo de Benders convergiu para 55,5 MW e R$ 67,53 milhões, contra 54,4 MW e R$ 67,51 milhões com blocos semanais — diferença de 0,03%, inferior à tolerância de convergência e situada na região plana do ótimo. As condições cíclicas semanais, portanto, não restringem a operação de forma mensurável, o que é coerente com a operação em ciclos diários do módulo mercantil e do tanque, cujos estados de armazenamento tendem a retornar aos mesmos valores ao fim de cada semana.</w:t>
      </w:r>
    </w:p>
    <w:bookmarkEnd w:id="40"/>
    <w:bookmarkStart w:id="47" w:name="viabilidade-econômica-e-lance-mínimo"/>
    <w:p>
      <w:pPr>
        <w:pStyle w:val="Heading2"/>
      </w:pPr>
      <w:r>
        <w:t xml:space="preserve">4.9 Viabilidade econômica e lance mínimo</w:t>
      </w:r>
    </w:p>
    <w:p>
      <w:pPr>
        <w:pStyle w:val="FirstParagraph"/>
      </w:pPr>
      <w:r>
        <w:t xml:space="preserve">As seções anteriores analisaram o lucro operacional, sem os custos de investimento. Esta seção avalia se o empreendimento se paga e qual receita fixa justificaria construir o BESS, segundo o procedimento da Seção 3.8.4. Os resultados são apresentados na Tabela 4.8 e na Figura 4.9.</w:t>
      </w:r>
    </w:p>
    <w:p>
      <w:pPr>
        <w:pStyle w:val="Legenda"/>
      </w:pPr>
      <w:r>
        <w:t xml:space="preserve">Tabela 4.8 – Viabilidade econômica em 15 anos (receita fixa de R$ 600 mil/(MW·ano))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3"/>
        <w:gridCol w:w="851"/>
        <w:gridCol w:w="851"/>
        <w:gridCol w:w="1873"/>
        <w:gridCol w:w="851"/>
        <w:gridCol w:w="681"/>
        <w:gridCol w:w="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Invest. (R$ mi)</w:t>
            </w:r>
          </w:p>
        </w:tc>
        <w:tc>
          <w:tcPr/>
          <w:p>
            <w:pPr>
              <w:pStyle w:val="Compact"/>
            </w:pPr>
            <w:r>
              <w:t xml:space="preserve">Lucro op. (R$ mi/ano)</w:t>
            </w:r>
          </w:p>
        </w:tc>
        <w:tc>
          <w:tcPr/>
          <w:p>
            <w:pPr>
              <w:pStyle w:val="Compact"/>
            </w:pPr>
            <w:r>
              <w:t xml:space="preserve">VPL a 8,0% (R$ mi)</w:t>
            </w:r>
          </w:p>
        </w:tc>
        <w:tc>
          <w:tcPr/>
          <w:p>
            <w:pPr>
              <w:pStyle w:val="Compact"/>
            </w:pPr>
            <w:r>
              <w:t xml:space="preserve">VPL a 12,1% (R$ mi)</w:t>
            </w:r>
          </w:p>
        </w:tc>
        <w:tc>
          <w:tcPr/>
          <w:p>
            <w:pPr>
              <w:pStyle w:val="Compact"/>
            </w:pPr>
            <w:r>
              <w:t xml:space="preserve">TIR real</w:t>
            </w:r>
          </w:p>
        </w:tc>
        <w:tc>
          <w:tcPr/>
          <w:p>
            <w:pPr>
              <w:pStyle w:val="Compact"/>
            </w:pPr>
            <w:r>
              <w:t xml:space="preserve">H₂ eq. (R$/kg)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68,1</w:t>
            </w:r>
          </w:p>
        </w:tc>
        <w:tc>
          <w:tcPr/>
          <w:p>
            <w:pPr>
              <w:pStyle w:val="Compact"/>
            </w:pPr>
            <w:r>
              <w:t xml:space="preserve">−295 (−461 a −81)</w:t>
            </w:r>
          </w:p>
        </w:tc>
        <w:tc>
          <w:tcPr/>
          <w:p>
            <w:pPr>
              <w:pStyle w:val="Compact"/>
            </w:pPr>
            <w:r>
              <w:t xml:space="preserve">−386</w:t>
            </w:r>
          </w:p>
        </w:tc>
        <w:tc>
          <w:tcPr/>
          <w:p>
            <w:pPr>
              <w:pStyle w:val="Compact"/>
            </w:pPr>
            <w:r>
              <w:t xml:space="preserve">0,6%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2 t/dia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61,3</w:t>
            </w:r>
          </w:p>
        </w:tc>
        <w:tc>
          <w:tcPr/>
          <w:p>
            <w:pPr>
              <w:pStyle w:val="Compact"/>
            </w:pPr>
            <w:r>
              <w:t xml:space="preserve">−353 (−520 a −140)</w:t>
            </w:r>
          </w:p>
        </w:tc>
        <w:tc>
          <w:tcPr/>
          <w:p>
            <w:pPr>
              <w:pStyle w:val="Compact"/>
            </w:pPr>
            <w:r>
              <w:t xml:space="preserve">−432</w:t>
            </w:r>
          </w:p>
        </w:tc>
        <w:tc>
          <w:tcPr/>
          <w:p>
            <w:pPr>
              <w:pStyle w:val="Compact"/>
            </w:pPr>
            <w:r>
              <w:t xml:space="preserve">−1,2%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3 t/dia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64,3</w:t>
            </w:r>
          </w:p>
        </w:tc>
        <w:tc>
          <w:tcPr/>
          <w:p>
            <w:pPr>
              <w:pStyle w:val="Compact"/>
            </w:pPr>
            <w:r>
              <w:t xml:space="preserve">−327 (−494 a −113)</w:t>
            </w:r>
          </w:p>
        </w:tc>
        <w:tc>
          <w:tcPr/>
          <w:p>
            <w:pPr>
              <w:pStyle w:val="Compact"/>
            </w:pPr>
            <w:r>
              <w:t xml:space="preserve">−412</w:t>
            </w:r>
          </w:p>
        </w:tc>
        <w:tc>
          <w:tcPr/>
          <w:p>
            <w:pPr>
              <w:pStyle w:val="Compact"/>
            </w:pPr>
            <w:r>
              <w:t xml:space="preserve">−0,4%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Importação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88,5</w:t>
            </w:r>
          </w:p>
        </w:tc>
        <w:tc>
          <w:tcPr/>
          <w:p>
            <w:pPr>
              <w:pStyle w:val="Compact"/>
            </w:pPr>
            <w:r>
              <w:t xml:space="preserve">−120 (−287 a +94)</w:t>
            </w:r>
          </w:p>
        </w:tc>
        <w:tc>
          <w:tcPr/>
          <w:p>
            <w:pPr>
              <w:pStyle w:val="Compact"/>
            </w:pPr>
            <w:r>
              <w:t xml:space="preserve">−248</w:t>
            </w:r>
          </w:p>
        </w:tc>
        <w:tc>
          <w:tcPr/>
          <w:p>
            <w:pPr>
              <w:pStyle w:val="Compact"/>
            </w:pPr>
            <w:r>
              <w:t xml:space="preserve">5,2%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Importação e contrato 3 t/dia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68,8</w:t>
            </w:r>
          </w:p>
        </w:tc>
        <w:tc>
          <w:tcPr/>
          <w:p>
            <w:pPr>
              <w:pStyle w:val="Compact"/>
            </w:pPr>
            <w:r>
              <w:t xml:space="preserve">−289 (−455 a −75)</w:t>
            </w:r>
          </w:p>
        </w:tc>
        <w:tc>
          <w:tcPr/>
          <w:p>
            <w:pPr>
              <w:pStyle w:val="Compact"/>
            </w:pPr>
            <w:r>
              <w:t xml:space="preserve">−382</w:t>
            </w:r>
          </w:p>
        </w:tc>
        <w:tc>
          <w:tcPr/>
          <w:p>
            <w:pPr>
              <w:pStyle w:val="Compact"/>
            </w:pPr>
            <w:r>
              <w:t xml:space="preserve">0,7%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Eletrolisador 10 MW</w:t>
            </w:r>
          </w:p>
        </w:tc>
        <w:tc>
          <w:tcPr/>
          <w:p>
            <w:pPr>
              <w:pStyle w:val="Compact"/>
            </w:pPr>
            <w:r>
              <w:t xml:space="preserve">651</w:t>
            </w:r>
          </w:p>
        </w:tc>
        <w:tc>
          <w:tcPr/>
          <w:p>
            <w:pPr>
              <w:pStyle w:val="Compact"/>
            </w:pPr>
            <w:r>
              <w:t xml:space="preserve">60,4</w:t>
            </w:r>
          </w:p>
        </w:tc>
        <w:tc>
          <w:tcPr/>
          <w:p>
            <w:pPr>
              <w:pStyle w:val="Compact"/>
            </w:pPr>
            <w:r>
              <w:t xml:space="preserve">−259 (−400 a −91)</w:t>
            </w:r>
          </w:p>
        </w:tc>
        <w:tc>
          <w:tcPr/>
          <w:p>
            <w:pPr>
              <w:pStyle w:val="Compact"/>
            </w:pPr>
            <w:r>
              <w:t xml:space="preserve">−341</w:t>
            </w:r>
          </w:p>
        </w:tc>
        <w:tc>
          <w:tcPr/>
          <w:p>
            <w:pPr>
              <w:pStyle w:val="Compact"/>
            </w:pPr>
            <w:r>
              <w:t xml:space="preserve">0,7%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Eletrolisador 25 MW</w:t>
            </w:r>
          </w:p>
        </w:tc>
        <w:tc>
          <w:tcPr/>
          <w:p>
            <w:pPr>
              <w:pStyle w:val="Compact"/>
            </w:pPr>
            <w:r>
              <w:t xml:space="preserve">813</w:t>
            </w:r>
          </w:p>
        </w:tc>
        <w:tc>
          <w:tcPr/>
          <w:p>
            <w:pPr>
              <w:pStyle w:val="Compact"/>
            </w:pPr>
            <w:r>
              <w:t xml:space="preserve">73,5</w:t>
            </w:r>
          </w:p>
        </w:tc>
        <w:tc>
          <w:tcPr/>
          <w:p>
            <w:pPr>
              <w:pStyle w:val="Compact"/>
            </w:pPr>
            <w:r>
              <w:t xml:space="preserve">−351 (−542 a −91)</w:t>
            </w:r>
          </w:p>
        </w:tc>
        <w:tc>
          <w:tcPr/>
          <w:p>
            <w:pPr>
              <w:pStyle w:val="Compact"/>
            </w:pPr>
            <w:r>
              <w:t xml:space="preserve">−447</w:t>
            </w:r>
          </w:p>
        </w:tc>
        <w:tc>
          <w:tcPr/>
          <w:p>
            <w:pPr>
              <w:pStyle w:val="Compact"/>
            </w:pPr>
            <w:r>
              <w:t xml:space="preserve">0,0%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Degradação R$ 200/MWh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54,9</w:t>
            </w:r>
          </w:p>
        </w:tc>
        <w:tc>
          <w:tcPr/>
          <w:p>
            <w:pPr>
              <w:pStyle w:val="Compact"/>
            </w:pPr>
            <w:r>
              <w:t xml:space="preserve">−408 (−574 a −194)</w:t>
            </w:r>
          </w:p>
        </w:tc>
        <w:tc>
          <w:tcPr/>
          <w:p>
            <w:pPr>
              <w:pStyle w:val="Compact"/>
            </w:pPr>
            <w:r>
              <w:t xml:space="preserve">−475</w:t>
            </w:r>
          </w:p>
        </w:tc>
        <w:tc>
          <w:tcPr/>
          <w:p>
            <w:pPr>
              <w:pStyle w:val="Compact"/>
            </w:pPr>
            <w:r>
              <w:t xml:space="preserve">−3,0%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</w:tbl>
    <w:p>
      <w:pPr>
        <w:pStyle w:val="Fonte"/>
      </w:pPr>
      <w:r>
        <w:t xml:space="preserve">Fonte: elaborado pelo autor. Investimento, TIR e preço de equilíbrio do H₂ (H₂ eq., à taxa de 8,0%) com investimento central; entre parênteses, VPL com investimento alto e baixo.</w:t>
      </w:r>
    </w:p>
    <w:p>
      <w:pPr>
        <w:pStyle w:val="BodyText"/>
      </w:pPr>
      <w:r>
        <w:t xml:space="preserve">Com os parâmetros adotados, nenhum caso é economicamente viável com investimento central. No caso de referência, o investimento de R$ 732 milhões — R$ 213 milhões na usina FV, R$ 330 milhões no BESS e R$ 189 milhões no eletrolisador — gera fluxo anual de R$ 51 milhões, após R$ 17 milhões de O&amp;M fixo, e a TIR real é de apenas 0,6%. O preço do hidrogênio que tornaria o VPL nulo à taxa de 8% é de cerca de R$ 68/kg, praticamente o dobro do valor adotado. O único caso com VPL positivo é o de importação de energia com investimentos no limite inferior das faixas (R$ 94 milhões), o que reforça a importância da regra de suprimento do eletrolisador identificada na Seção 4.5.</w:t>
      </w:r>
    </w:p>
    <w:p>
      <w:pPr>
        <w:pStyle w:val="Legenda"/>
      </w:pPr>
      <w:r>
        <w:t xml:space="preserve">Figura 4.9 – Viabilidade econômica: (a) VPL do projeto por caso; (b) ganho anual proporcionado pelo BESS em função da receita fixa, comparado com o seu custo anual equivalente</w:t>
      </w:r>
    </w:p>
    <w:p>
      <w:pPr>
        <w:pStyle w:val="Figura"/>
      </w:pPr>
      <w:r>
        <w:drawing>
          <wp:inline>
            <wp:extent cx="5334000" cy="1905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./figuras/viabilidad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BodyText"/>
      </w:pPr>
      <w:r>
        <w:rPr>
          <w:b/>
          <w:bCs/>
        </w:rPr>
        <w:t xml:space="preserve">Valor do BESS.</w:t>
      </w:r>
      <w:r>
        <w:t xml:space="preserve"> </w:t>
      </w:r>
      <w:r>
        <w:t xml:space="preserve">Sem a bateria, e portanto sem o leilão, o lucro operacional esperado é de R$ 35,4 milhões por ano. Com o BESS e a contratação de 55 MW à receita de R$ 600 mil/(MW·ano), passa a R$ 68,1 milhões. O ganho de R$ 32,8 milhões por ano não cobre o custo anual equivalente do BESS, de R$ 46,8 milhões à taxa de 8% com investimento central (Figura 4.9(b)). Sem a receita do leilão, a bateria agrega apenas R$ 9,7 milhões por ano, provenientes do suprimento noturno do eletrolisador e da arbitragem no MCP; é, portanto, a receita fixa do LRCAP que pode viabilizá-la.</w:t>
      </w:r>
    </w:p>
    <w:p>
      <w:pPr>
        <w:pStyle w:val="BodyText"/>
      </w:pPr>
      <w:r>
        <w:rPr>
          <w:b/>
          <w:bCs/>
        </w:rPr>
        <w:t xml:space="preserve">Lance mínimo.</w:t>
      </w:r>
      <w:r>
        <w:t xml:space="preserve"> </w:t>
      </w:r>
      <w:r>
        <w:t xml:space="preserve">A Figura 4.10 compara a curva de oferta de um BESS já existente, obtida na Seção 4.4, com a de um BESS a construir, e a Tabela 4.9 apresenta o lance mínimo para cada faixa de investimento e taxa de desconto.</w:t>
      </w:r>
    </w:p>
    <w:p>
      <w:pPr>
        <w:pStyle w:val="Legenda"/>
      </w:pPr>
      <w:r>
        <w:t xml:space="preserve">Figura 4.10 – Curva de oferta com o investimento no BESS: (a) potência ótima a ofertar com BESS existente e a construir; (b) lance mínimo por faixa de investimento e taxa de desconto</w:t>
      </w:r>
    </w:p>
    <w:p>
      <w:pPr>
        <w:pStyle w:val="Figura"/>
      </w:pPr>
      <w:r>
        <w:drawing>
          <wp:inline>
            <wp:extent cx="5334000" cy="229772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figuras/curva_oferta_investimento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Legenda"/>
      </w:pPr>
      <w:r>
        <w:t xml:space="preserve">Tabela 4.9 – Lance mínimo para a construção do BESS, em R$ mil/(MW·ano), e potência ofertada nesse 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Taxa de desconto</w:t>
            </w:r>
          </w:p>
        </w:tc>
        <w:tc>
          <w:tcPr/>
          <w:p>
            <w:pPr>
              <w:pStyle w:val="Compact"/>
            </w:pPr>
            <w:r>
              <w:t xml:space="preserve">Investimento baixo (R$ 5.000/kW)</w:t>
            </w:r>
          </w:p>
        </w:tc>
        <w:tc>
          <w:tcPr/>
          <w:p>
            <w:pPr>
              <w:pStyle w:val="Compact"/>
            </w:pPr>
            <w:r>
              <w:t xml:space="preserve">Investimento central (R$ 5.500/kW)</w:t>
            </w:r>
          </w:p>
        </w:tc>
        <w:tc>
          <w:tcPr/>
          <w:p>
            <w:pPr>
              <w:pStyle w:val="Compact"/>
            </w:pPr>
            <w:r>
              <w:t xml:space="preserve">Investimento alto (R$ 6.000/kW)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8,0%</w:t>
            </w:r>
          </w:p>
        </w:tc>
        <w:tc>
          <w:tcPr/>
          <w:p>
            <w:pPr>
              <w:pStyle w:val="Compact"/>
            </w:pPr>
            <w:r>
              <w:t xml:space="preserve">780 (57,5 MW)</w:t>
            </w:r>
          </w:p>
        </w:tc>
        <w:tc>
          <w:tcPr/>
          <w:p>
            <w:pPr>
              <w:pStyle w:val="Compact"/>
            </w:pPr>
            <w:r>
              <w:t xml:space="preserve">855 (57,5 MW)</w:t>
            </w:r>
          </w:p>
        </w:tc>
        <w:tc>
          <w:tcPr/>
          <w:p>
            <w:pPr>
              <w:pStyle w:val="Compact"/>
            </w:pPr>
            <w:r>
              <w:t xml:space="preserve">925 (60 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12,1%</w:t>
            </w:r>
          </w:p>
        </w:tc>
        <w:tc>
          <w:tcPr/>
          <w:p>
            <w:pPr>
              <w:pStyle w:val="Compact"/>
            </w:pPr>
            <w:r>
              <w:t xml:space="preserve">940 (60 MW)</w:t>
            </w:r>
          </w:p>
        </w:tc>
        <w:tc>
          <w:tcPr/>
          <w:p>
            <w:pPr>
              <w:pStyle w:val="Compact"/>
            </w:pPr>
            <w:r>
              <w:t xml:space="preserve">1.025 (60 MW)</w:t>
            </w:r>
          </w:p>
        </w:tc>
        <w:tc>
          <w:tcPr/>
          <w:p>
            <w:pPr>
              <w:pStyle w:val="Compact"/>
            </w:pPr>
            <w:r>
              <w:t xml:space="preserve">1.110 (60 MW)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Quando o BESS ainda será construído, a curva de oferta deixa de ser escalonada e passa a ser do tipo</w:t>
      </w:r>
      <w:r>
        <w:t xml:space="preserve"> </w:t>
      </w:r>
      <w:r>
        <w:t xml:space="preserve">“tudo ou nada”</w:t>
      </w:r>
      <w:r>
        <w:t xml:space="preserve">: abaixo do lance mínimo, o proponente não constrói a bateria e não oferta potência; acima dele, oferta entre 57,5 e 60 MW. A curva escalonada das Seções 4.4 a 4.8 descreve, portanto, a decisão de um proponente que já dispõe do BESS. O lance mínimo no caso central, de R$ 855 mil/(MW·ano), é praticamente igual à soma do custo anual equivalente do BESS por MW (R$ 780 mil) com o custo de degradação do despacho diário do módulo LRCAP (R$ 73 mil), o que indica que o uso mercantil da bateria pouco reduz o lance quando ela é construída para o leilão. Esse valor é próximo do preço médio obtido por termelétricas existentes no LRCAP de março de 2026 (R$ 831 mil/(MW·ano)) e muito inferior ao das termelétricas e hidrelétricas do leilão anterior (R$ 2,33 milhões/(MW·ano)), o que sugere que o armazenamento em baterias é competitivo frente à expansão térmica, mas não frente às usinas existentes. A receita de R$ 600 mil/(MW·ano) adotada no caso de referência é inferior ao lance mínimo em todas as combinações avaliadas: com ela, um proponente racional não construiria o BESS.</w:t>
      </w:r>
    </w:p>
    <w:bookmarkEnd w:id="47"/>
    <w:bookmarkStart w:id="48" w:name="síntese"/>
    <w:p>
      <w:pPr>
        <w:pStyle w:val="Heading2"/>
      </w:pPr>
      <w:r>
        <w:t xml:space="preserve">4.10 Síntese</w:t>
      </w:r>
    </w:p>
    <w:p>
      <w:pPr>
        <w:pStyle w:val="FirstParagraph"/>
      </w:pPr>
      <w:r>
        <w:t xml:space="preserve">Os resultados permitem hierarquizar os fatores que determinam a decisão de contratação no LRCAP: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participar do leilão é robusto:</w:t>
      </w:r>
      <w:r>
        <w:t xml:space="preserve"> </w:t>
      </w:r>
      <w:r>
        <w:t xml:space="preserve">nos casos de contrato de hidrogênio e de importação, o custo de oportunidade marginal situa-se entre R$ 77 mil e R$ 111 mil/(MW·ano) até cerca de 37,5 MW, e a receita mínima de entrada não ultrapassa R$ 100 mil/(MW·ano); mesmo com custo de degradação de R$ 200/MWh ou eletrolisador de 10 MW, ela permanece abaixo de R$ 300 mil/(MW·ano), aquém de todas as referências de receita fixa do Quadro 4.1;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quantidade a ofertar acima de 40 MW depende do hidrogênio:</w:t>
      </w:r>
      <w:r>
        <w:t xml:space="preserve"> </w:t>
      </w:r>
      <w:r>
        <w:t xml:space="preserve">o custo de oportunidade do último MW varia de R$ 228 mil a R$ 1,75 milhão/(MW·ano) conforme a existência e o volume de um contrato de fornecimento, porque o módulo mercantil do BESS tem como principal função abastecer o eletrolisador fora do período solar;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regra de suprimento do eletrolisador é a hipótese de maior efeito sobre o lucro:</w:t>
      </w:r>
      <w:r>
        <w:t xml:space="preserve"> </w:t>
      </w:r>
      <w:r>
        <w:t xml:space="preserve">permitir a importação de energia eleva o lucro em cerca de 30% e torna o BESS desnecessário para a produção de hidrogênio;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receita fixa e o preço do hidrogênio definem a fronteira entre contratar parte ou toda a potência:</w:t>
      </w:r>
      <w:r>
        <w:t xml:space="preserve"> </w:t>
      </w:r>
      <w:r>
        <w:t xml:space="preserve">com receita igual ou superior a R$ 1,5 milhão/(MW·ano) ou hidrogênio a até R$ 20/kg, o ótimo é contratar toda a potência; o arrependimento de errar a contratação é assimétrico e favorece contratar mais;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 dimensionamento do eletrolisador molda a curva de oferta:</w:t>
      </w:r>
      <w:r>
        <w:t xml:space="preserve"> </w:t>
      </w:r>
      <w:r>
        <w:t xml:space="preserve">com 10 MW, o ótimo cai para 50 MW e o custo de oportunidade parte de R$ 330 mil/(MW·ano); com 25 MW, sobe para 57,5 MW, com custo de cerca de R$ 77 mil/(MW·ano) até 45 MW; o tamanho do tanque, por sua vez, não altera o resultado;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 custo de degradação afeta o lucro e o limiar de entrada, mas pouco a potência ótima:</w:t>
      </w:r>
      <w:r>
        <w:t xml:space="preserve"> </w:t>
      </w:r>
      <w:r>
        <w:t xml:space="preserve">quadruplicá-lo reduz o lucro em R$ 13 milhões por ano e desloca o ótimo em 2,5 MW;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incertezas de preço, de geração e de despacho e a aproximação da decomposição têm efeito pequeno sobre a decisão:</w:t>
      </w:r>
      <w:r>
        <w:t xml:space="preserve"> </w:t>
      </w:r>
      <w:r>
        <w:t xml:space="preserve">o modelo determinístico de 2025 e o estocástico conduzem à mesma potência ótima, a variação entre anos históricos resulta em VSS nulo e EVPI de 0,2% do lucro esperado, a frequência do despacho do ONS desloca o custo de oportunidade de um valor constante, sem alterar a potência ótima, e as condições cíclicas da decomposição semanal não restringem a operação de forma mensurável;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 os parâmetros adotados, o empreendimento não se paga, e o lance mínimo para construir o BESS é de cerca de R$ 850 mil/(MW·ano):</w:t>
      </w:r>
      <w:r>
        <w:t xml:space="preserve"> </w:t>
      </w:r>
      <w:r>
        <w:t xml:space="preserve">a TIR real do caso de referência é de 0,6%, o preço de equilíbrio do hidrogênio é de cerca de R$ 68/kg, e o lance mínimo varia de R$ 780 mil a R$ 1,11 milhão/(MW·ano) conforme o investimento e a taxa de desconto, acima da receita de referência; para um BESS a construir, a oferta é do tipo</w:t>
      </w:r>
      <w:r>
        <w:t xml:space="preserve"> </w:t>
      </w:r>
      <w:r>
        <w:t xml:space="preserve">“tudo ou nada”</w:t>
      </w:r>
      <w:r>
        <w:t xml:space="preserve">, com 57,5 a 60 MW.</w:t>
      </w:r>
    </w:p>
    <w:p>
      <w:pPr>
        <w:pStyle w:val="FirstParagraph"/>
      </w:pPr>
      <w:r>
        <w:t xml:space="preserve">Em conjunto, esses resultados indicam duas situações distintas. Para um proponente que já dispõe do BESS, a quantidade a ofertar é determinada menos pelo comportamento do mercado de energia e mais pelas condições de produção e de comercialização do hidrogênio — dimensionamento do eletrolisador, volume, preço e critério de qualificação. Para um proponente que precisa construir o BESS, situação prevista no edital para sistemas novos, a decisão é essencialmente a de participar ou não, e o lance mínimo é determinado pelo custo de investimento da bateria e pela taxa de desconto; nesse caso, o hidrogênio influencia a viabilidade do empreendimento como um todo, mas pouco a oferta no leilão.</w:t>
      </w:r>
    </w:p>
    <w:bookmarkEnd w:id="48"/>
    <w:bookmarkStart w:id="49" w:name="referências"/>
    <w:p>
      <w:pPr>
        <w:pStyle w:val="Heading2"/>
      </w:pPr>
      <w:r>
        <w:t xml:space="preserve">REFERÊNCIAS</w:t>
      </w:r>
    </w:p>
    <w:p>
      <w:pPr>
        <w:pStyle w:val="Referencia"/>
      </w:pPr>
      <w:r>
        <w:t xml:space="preserve">BRASIL. Ministério de Minas e Energia; EPE – EMPRESA DE PESQUISA ENERGÉTICA.</w:t>
      </w:r>
      <w:r>
        <w:t xml:space="preserve"> </w:t>
      </w:r>
      <w:r>
        <w:rPr>
          <w:b/>
          <w:bCs/>
        </w:rPr>
        <w:t xml:space="preserve">Caderno de parâmetros de custos</w:t>
      </w:r>
      <w:r>
        <w:t xml:space="preserve">: geração e transmissão – PDE 2035. Brasília: MME/EPE, nov. 2025.</w:t>
      </w:r>
    </w:p>
    <w:p>
      <w:pPr>
        <w:pStyle w:val="Referencia"/>
      </w:pPr>
      <w:r>
        <w:t xml:space="preserve">CCEE – CÂMARA DE COMERCIALIZAÇÃO DE ENERGIA ELÉTRICA.</w:t>
      </w:r>
      <w:r>
        <w:t xml:space="preserve"> </w:t>
      </w:r>
      <w:r>
        <w:rPr>
          <w:b/>
          <w:bCs/>
        </w:rPr>
        <w:t xml:space="preserve">InfoLeilão Expresso</w:t>
      </w:r>
      <w:r>
        <w:t xml:space="preserve">: 04º LRCAP 2026 – Leilão nº 2/2026-ANEEL. São Paulo: CCEE, mar. 2026b. Disponível em: https://www.ccee.org.br. Acesso em: 3 out. 2026.</w:t>
      </w:r>
    </w:p>
    <w:p>
      <w:pPr>
        <w:pStyle w:val="Referencia"/>
      </w:pPr>
      <w:r>
        <w:t xml:space="preserve">CCEE – CÂMARA DE COMERCIALIZAÇÃO DE ENERGIA ELÉTRICA.</w:t>
      </w:r>
      <w:r>
        <w:t xml:space="preserve"> </w:t>
      </w:r>
      <w:r>
        <w:rPr>
          <w:b/>
          <w:bCs/>
        </w:rPr>
        <w:t xml:space="preserve">InfoLeilão Expresso</w:t>
      </w:r>
      <w:r>
        <w:t xml:space="preserve">: 05º LRCAP 2026 – Leilão nº 3/2026-ANEEL. São Paulo: CCEE, mar. 2026c. Disponível em: https://www.ccee.org.br. Acesso em: 3 out. 2026.</w:t>
      </w:r>
    </w:p>
    <w:p>
      <w:pPr>
        <w:pStyle w:val="Referencia"/>
      </w:pPr>
      <w:r>
        <w:t xml:space="preserve">TERNA.</w:t>
      </w:r>
      <w:r>
        <w:t xml:space="preserve"> </w:t>
      </w:r>
      <w:r>
        <w:rPr>
          <w:b/>
          <w:bCs/>
        </w:rPr>
        <w:t xml:space="preserve">Terna completes first MACSE auction</w:t>
      </w:r>
      <w:r>
        <w:t xml:space="preserve">: 10 GWh of energy storage capacity awarded. Roma: Terna S.p.A., 1 out. 2025. Comunicado de imprensa. Disponível em: https://www.terna.it. Acesso em: 3 out. 2026.</w:t>
      </w:r>
    </w:p>
    <w:bookmarkEnd w:id="49"/>
    <w:bookmarkEnd w:id="50"/>
    <w:sectPr>
      <w:pgSz w:w="11906" w:h="16838"/>
      <w:pgMar w:top="1701" w:right="1134" w:bottom="1134" w:left="1701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default="1" w:styleId="Normal">
    <w:name w:val="Normal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FirstParagraph">
    <w:name w:val="First Paragraph"/>
    <w:basedOn w:val="BodyText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Compact">
    <w:name w:val="Compact"/>
    <w:basedOn w:val="Normal"/>
    <w:qFormat/>
    <w:pPr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1">
    <w:name w:val="heading 1"/>
    <w:basedOn w:val="Normal"/>
    <w:qFormat/>
    <w:pPr>
      <w:keepNext/>
      <w:spacing w:before="0" w:after="36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qFormat/>
    <w:pPr>
      <w:keepNext/>
      <w:spacing w:before="360" w:after="24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qFormat/>
    <w:pPr>
      <w:keepNext/>
      <w:spacing w:before="240" w:after="24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Legenda">
    <w:name w:val="Legenda"/>
    <w:basedOn w:val="Normal"/>
    <w:qFormat/>
    <w:pPr>
      <w:keepNext/>
      <w:spacing w:before="240" w:after="60" w:line="24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customStyle="1" w:styleId="Figura">
    <w:name w:val="Figura"/>
    <w:basedOn w:val="Normal"/>
    <w:qFormat/>
    <w:pPr>
      <w:keepNext/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customStyle="1" w:styleId="Fonte">
    <w:name w:val="Fonte"/>
    <w:basedOn w:val="Normal"/>
    <w:qFormat/>
    <w:pPr>
      <w:spacing w:before="60" w:after="240" w:line="24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customStyle="1" w:styleId="Referencia">
    <w:name w:val="Referencia"/>
    <w:basedOn w:val="Normal"/>
    <w:qFormat/>
    <w:pPr>
      <w:spacing w:before="0" w:after="240" w:line="24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NumeroEquacao">
    <w:name w:val="Numero Equacao"/>
    <w:basedOn w:val="Normal"/>
    <w:qFormat/>
    <w:pPr>
      <w:spacing w:before="0" w:after="0" w:line="240" w:lineRule="auto"/>
      <w:ind w:firstLine="0"/>
      <w:jc w:val="right"/>
    </w:pPr>
    <w:rPr>
      <w:rFonts w:ascii="Times New Roman" w:hAnsi="Times New Roman" w:eastAsia="Times New Roman" w:cs="Times New Roman"/>
      <w:color w:val="000000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13" Target="media/rId13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2026-10-04T21:17:36Z</dcterms:created>
  <dcterms:modified xsi:type="dcterms:W3CDTF">2026-10-04T21:17:36Z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