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de PharmaBoost 2.39</w:t>
      </w:r>
    </w:p>
    <w:p>
      <w:pPr>
        <w:spacing w:after="100"/>
      </w:pPr>
      <w:r>
        <w:rPr>
          <w:color w:val="0E6158"/>
          <w:sz w:val="18"/>
        </w:rPr>
        <w:t>16 de octubre de 2026  |  Devoluciones</w:t>
      </w:r>
    </w:p>
    <w:p>
      <w:r>
        <w:t>El selector de devoluciones ahora muestra solo pedidos entregados que aún tienen unidades por devolver. Al completar todas las cantidades, el pedido desaparece de la lista superior y sus registros permanecen en el historial.</w:t>
      </w:r>
    </w:p>
    <w:p>
      <w:pPr>
        <w:pStyle w:val="Heading1"/>
      </w:pPr>
      <w:r>
        <w:t>Cambios y funcionamiento</w:t>
      </w:r>
    </w:p>
    <w:p>
      <w:r>
        <w:t>Las devoluciones parciales siguen disponibles mientras queden unidades. Cuando ya no haya pedidos elegibles, la pantalla diferencia entre no tener pedidos entregados y haber terminado todas las devoluciones. No cambia el registro, el valor, el destino de inventario ni el cálculo de devoluciones.</w:t>
      </w:r>
    </w:p>
    <w:p>
      <w:pPr>
        <w:pStyle w:val="Heading1"/>
      </w:pPr>
      <w:r>
        <w:t>Pruebas y limitaciones</w:t>
      </w:r>
    </w:p>
    <w:p>
      <w:r>
        <w:t>No se ejecutaron pruebas automatizadas en esta entrega. La actualización solo cambia qué pedidos aparecen en el selector; no modifica el esquema MySQL ni las cuentas. El historial sigue mostrando las devoluciones completas y parciales.</w:t>
      </w:r>
    </w:p>
    <w:p>
      <w:pPr>
        <w:pStyle w:val="Heading1"/>
      </w:pPr>
      <w:r>
        <w:t>Usuarios iniciales de PharmaBoost</w:t>
      </w:r>
    </w:p>
    <w:p>
      <w:r>
        <w:t>Contraseña inicial común para estas cuentas de la aplicación: Pharma2026!. Cámbiala antes del uso real. No es una contraseña de MySQL ni de Workbench.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DE"/>
          <w:left w:val="single" w:sz="5" w:color="D9E1DE"/>
          <w:bottom w:val="single" w:sz="5" w:color="D9E1DE"/>
          <w:right w:val="single" w:sz="5" w:color="D9E1DE"/>
          <w:insideH w:val="single" w:sz="5" w:color="D9E1DE"/>
          <w:insideV w:val="single" w:sz="5" w:color="D9E1DE"/>
        </w:tblBorders>
      </w:tblPr>
      <w:tblGrid>
        <w:gridCol w:w="3389"/>
        <w:gridCol w:w="3389"/>
        <w:gridCol w:w="3389"/>
      </w:tblGrid>
      <w:tr>
        <w:tc>
          <w:tcPr>
            <w:tcW w:type="dxa" w:w="3600"/>
            <w:vAlign w:val="center"/>
            <w:shd w:fill="164F45"/>
          </w:tcPr>
          <w:p>
            <w:pPr>
              <w:spacing w:before="20"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Correo</w:t>
            </w:r>
          </w:p>
        </w:tc>
        <w:tc>
          <w:tcPr>
            <w:tcW w:type="dxa" w:w="2592"/>
            <w:vAlign w:val="center"/>
            <w:shd w:fill="164F45"/>
          </w:tcPr>
          <w:p>
            <w:pPr>
              <w:spacing w:before="20" w:after="20"/>
            </w:pP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528"/>
            <w:vAlign w:val="center"/>
            <w:shd w:fill="164F45"/>
          </w:tcPr>
          <w:p>
            <w:pPr>
              <w:spacing w:before="20" w:after="20"/>
            </w:pPr>
            <w:r>
              <w:rPr>
                <w:rFonts w:ascii="Aptos" w:hAnsi="Aptos"/>
                <w:b/>
                <w:color w:val="FFFFFF"/>
                <w:sz w:val="16"/>
              </w:rPr>
              <w:t>Nombre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admin@pharmaboost.local</w:t>
            </w:r>
          </w:p>
        </w:tc>
        <w:tc>
          <w:tcPr>
            <w:tcW w:type="dxa" w:w="2592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Administrador</w:t>
            </w:r>
          </w:p>
        </w:tc>
        <w:tc>
          <w:tcPr>
            <w:tcW w:type="dxa" w:w="3528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Samuel Palacio</w:t>
            </w:r>
          </w:p>
        </w:tc>
      </w:tr>
      <w:tr>
        <w:tc>
          <w:tcPr>
            <w:tcW w:type="dxa" w:w="3600"/>
            <w:vAlign w:val="center"/>
            <w:shd w:fill="F2F6F4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ventas@pharmaboost.local</w:t>
            </w:r>
          </w:p>
        </w:tc>
        <w:tc>
          <w:tcPr>
            <w:tcW w:type="dxa" w:w="2592"/>
            <w:vAlign w:val="center"/>
            <w:shd w:fill="F2F6F4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Ventas y Marketing</w:t>
            </w:r>
          </w:p>
        </w:tc>
        <w:tc>
          <w:tcPr>
            <w:tcW w:type="dxa" w:w="3528"/>
            <w:vAlign w:val="center"/>
            <w:shd w:fill="F2F6F4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Laura Restrepo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agente@pharmaboost.local</w:t>
            </w:r>
          </w:p>
        </w:tc>
        <w:tc>
          <w:tcPr>
            <w:tcW w:type="dxa" w:w="2592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Agente comercial</w:t>
            </w:r>
          </w:p>
        </w:tc>
        <w:tc>
          <w:tcPr>
            <w:tcW w:type="dxa" w:w="3528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Daniel Muñoz</w:t>
            </w:r>
          </w:p>
        </w:tc>
      </w:tr>
      <w:tr>
        <w:tc>
          <w:tcPr>
            <w:tcW w:type="dxa" w:w="3600"/>
            <w:vAlign w:val="center"/>
            <w:shd w:fill="F2F6F4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agente2@pharmaboost.local</w:t>
            </w:r>
          </w:p>
        </w:tc>
        <w:tc>
          <w:tcPr>
            <w:tcW w:type="dxa" w:w="2592"/>
            <w:vAlign w:val="center"/>
            <w:shd w:fill="F2F6F4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Agente comercial</w:t>
            </w:r>
          </w:p>
        </w:tc>
        <w:tc>
          <w:tcPr>
            <w:tcW w:type="dxa" w:w="3528"/>
            <w:vAlign w:val="center"/>
            <w:shd w:fill="F2F6F4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Valentina Ruiz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tic@pharmaboost.local</w:t>
            </w:r>
          </w:p>
        </w:tc>
        <w:tc>
          <w:tcPr>
            <w:tcW w:type="dxa" w:w="2592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Operaciones TIC</w:t>
            </w:r>
          </w:p>
        </w:tc>
        <w:tc>
          <w:tcPr>
            <w:tcW w:type="dxa" w:w="3528"/>
            <w:vAlign w:val="center"/>
          </w:tcPr>
          <w:p>
            <w:pPr>
              <w:spacing w:before="20" w:after="20"/>
            </w:pPr>
            <w:r>
              <w:rPr>
                <w:rFonts w:ascii="Aptos" w:hAnsi="Aptos"/>
                <w:sz w:val="16"/>
              </w:rPr>
              <w:t>Operaciones TIC</w:t>
            </w:r>
          </w:p>
        </w:tc>
      </w:tr>
    </w:tbl>
    <w:p>
      <w:pPr>
        <w:pStyle w:val="Heading1"/>
      </w:pPr>
      <w:r>
        <w:t>MySQL Workbench</w:t>
      </w:r>
    </w:p>
    <w:p>
      <w:r>
        <w:t>Usa la conexión local configurada en el equipo. Si la base pharmaboost_js aún no existe, ejecuta database/schema.sql en Workbench, actualiza Schemas y luego ejecuta npm run setup para cargar los datos iniciales. En una base instalada no recrees el esquema ni vuelvas a cargar datos. Para consultas utiliza database/consultas_workbench.sql. Workbench administra MySQL y no reemplaza el servicio MySQL80. Esta actualización no requiere cambios de base de datos.</w:t>
      </w:r>
    </w:p>
    <w:sectPr w:rsidR="00FC693F" w:rsidRPr="0006063C" w:rsidSect="00034616">
      <w:footerReference w:type="default" r:id="rId9"/>
      <w:pgSz w:w="12240" w:h="15840"/>
      <w:pgMar w:top="749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D77"/>
        <w:sz w:val="16"/>
      </w:rPr>
      <w:t>PharmaBoost 2.39  ·  16 de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B37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