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Varios fabricantes por producto</w:t>
      </w:r>
    </w:p>
    <w:p>
      <w:r>
        <w:rPr>
          <w:b/>
          <w:color w:val="0E6158"/>
        </w:rPr>
        <w:t>PharmaBoost · Versión 2.42 · 16 de octubre de 2026</w:t>
      </w:r>
    </w:p>
    <w:p>
      <w:r>
        <w:t>Ahora un producto puede asociarse a varios fabricantes desde Catálogo. La asociación permite usarlo en promociones de cada fabricante, mientras conserva una sola ficha y un precio e inventario compartidos.</w:t>
      </w:r>
    </w:p>
    <w:p>
      <w:pPr>
        <w:pStyle w:val="Heading1"/>
      </w:pPr>
      <w:r>
        <w:t>Cambios incluidos</w:t>
      </w:r>
    </w:p>
    <w:p>
      <w:r>
        <w:t>El formulario de producto permite seleccionar varios fabricantes al crear o editar. Las promociones muestran productos asociados a su fabricante y el servidor valida esa relación al guardar campañas y pedidos. El catálogo público también permite filtrar y muestra todos los fabricantes vinculados. Las asociaciones anteriores se conservan durante la migración.</w:t>
      </w:r>
    </w:p>
    <w:p>
      <w:r>
        <w:t>Para quitar un fabricante de un producto, primero retíralo de las promociones que pertenezcan a ese fabricante. Los precios, descuentos, costos e inventario continúan siendo comunes al producto; esta actualización no los separa por fabricante.</w:t>
      </w:r>
    </w:p>
    <w:p>
      <w:pPr>
        <w:pStyle w:val="Heading1"/>
      </w:pPr>
      <w:r>
        <w:t>Migración de base de datos</w:t>
      </w:r>
    </w:p>
    <w:p>
      <w:r>
        <w:t>Railway aplica la tabla product_manufacturers al iniciar la versión desplegada. Para MySQL local existente, abre la conexión habitual en MySQL Workbench y ejecuta database/product_manufacturers.sql. En una base nueva, database/schema.sql crea y rellena la relación. La migración no elimina datos.</w:t>
      </w:r>
    </w:p>
    <w:p>
      <w:pPr>
        <w:pStyle w:val="Heading1"/>
      </w:pPr>
      <w:r>
        <w:t>Verificación</w:t>
      </w:r>
    </w:p>
    <w:p>
      <w:r>
        <w:t>Se ejecutó node --check en los archivos JavaScript modificados y git diff --check; ambos finalizaron correctamente. No se ejecutaron pruebas automatizadas. La migración SQL no se ejecutó en una base de producción desde esta actualización.</w:t>
      </w:r>
    </w:p>
    <w:p>
      <w:pPr>
        <w:pStyle w:val="Heading1"/>
      </w:pPr>
      <w:r>
        <w:t>Usuarios iniciales</w:t>
      </w:r>
    </w:p>
    <w:p>
      <w:r>
        <w:t>La contraseña inicial de estas cuentas locales de la aplicación es Pharma2026!; no es una contraseña de MySQL. Cámbiala para uso real.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Correo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Rol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Fabricante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admin@pharmaboost.local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Deutsche Pharma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ventas@pharmaboost.local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Ventas y Marketing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Deutsche Pharma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agente@pharmaboost.local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Agente comercial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Laboratorios Nova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agente2@pharmaboost.local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Agente comercial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Vitalis Pharma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tic@pharmaboost.local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Operaciones TIC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sz w:val="17"/>
              </w:rPr>
              <w:t>Deutsche Pharma</w:t>
            </w:r>
          </w:p>
        </w:tc>
      </w:tr>
    </w:tbl>
    <w:p>
      <w:pPr>
        <w:pStyle w:val="Heading1"/>
      </w:pPr>
      <w:r>
        <w:t>MySQL Workbench</w:t>
      </w:r>
    </w:p>
    <w:p>
      <w:r>
        <w:t>Abre tu conexión local habitual a 127.0.0.1, puerto 3306. Ejecuta database/product_manufacturers.sql para actualizar una base existente. Para una instalación nueva, ejecuta database/schema.sql si no usaste el instalador, actualiza Schemas y luego ejecuta npm run setup. database/consultas_workbench.sql contiene consultas de apoyo. Workbench administra MySQL y no reemplaza al servicio MySQL80.</w:t>
      </w:r>
    </w:p>
    <w:p>
      <w:r>
        <w:t>No se incluyen credenciales de MySQL en este informe.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PharmaBoost · Versión 2.42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7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