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de PharmaBoost 2.38</w:t>
      </w:r>
    </w:p>
    <w:p>
      <w:pPr>
        <w:spacing w:after="180"/>
      </w:pPr>
      <w:r>
        <w:rPr>
          <w:color w:val="0E6158"/>
          <w:sz w:val="20"/>
        </w:rPr>
        <w:t>16 de octubre de 2026  |  Resumen general y promociones</w:t>
      </w:r>
    </w:p>
    <w:p>
      <w:r>
        <w:t>Esta entrega añade el desglose de ganancia bruta estimada por tienda al Resumen general y un selector de categoría para encontrar productos en la subgama de una promoción. La lista de usuarios iniciales y las instrucciones de MySQL Workbench siguen vigentes; no se modificaron cuentas ni el esquema de MySQL.</w:t>
      </w:r>
    </w:p>
    <w:p>
      <w:pPr>
        <w:pStyle w:val="Heading1"/>
      </w:pPr>
      <w:r>
        <w:t>Cambios incluidos</w:t>
      </w:r>
    </w:p>
    <w:p>
      <w:r>
        <w:t>En Resumen general, la tarjeta final que repetía el valor neto de pedidos cuando no había devoluciones ahora muestra la ganancia bruta estimada. Debajo aparece el detalle por tienda, con líneas con costo conocido y líneas sin costo. Los filtros de fecha, producto, categoría, tienda, agente, promoción, estado y búsqueda aplican al cálculo. El detalle también se incluye en CSV, Excel, PDF e impresión.</w:t>
      </w:r>
    </w:p>
    <w:p>
      <w:r>
        <w:t>En el formulario de promoción, el listado de productos de la subgama ahora tiene un selector de categoría. Cambiar el filtro solo oculta y muestra opciones; no desmarca productos que ya estaban seleccionados.</w:t>
      </w:r>
    </w:p>
    <w:p>
      <w:pPr>
        <w:pStyle w:val="Heading1"/>
      </w:pPr>
      <w:r>
        <w:t>Cómo se estima la ganancia</w:t>
      </w:r>
    </w:p>
    <w:p>
      <w:r>
        <w:t>Por cada línea de pedido contabilizada se resta el costo promedio actual conocido del precio de venta y se multiplica por las unidades no devueltas. Se excluyen pedidos cancelados y en revisión. Las líneas de productos sin costo conocido se identifican y no se suman a la ganancia. La estimación no representa utilidad neta ni sustituye una liquidación contable.</w:t>
      </w:r>
    </w:p>
    <w:p>
      <w:pPr>
        <w:pStyle w:val="Heading1"/>
      </w:pPr>
      <w:r>
        <w:t>Verificaciones y alcance</w:t>
      </w:r>
    </w:p>
    <w:p>
      <w:r>
        <w:t>Pruebas automatizadas y verificación en navegador: no ejecutadas en esta entrega. No se modificaron las tablas, los datos, las cuentas ni el flujo de instalación. Para actualizar, reinicia el servidor Node.js y recarga la aplicación con Ctrl+F5.</w:t>
      </w:r>
    </w:p>
    <w:p>
      <w:pPr>
        <w:pStyle w:val="Heading1"/>
      </w:pPr>
      <w:r>
        <w:t>Limitaciones pendientes</w:t>
      </w:r>
    </w:p>
    <w:p>
      <w:r>
        <w:t>MySQL no conserva el costo histórico asociado a cada línea de pedido. Por eso, la ganancia usa el costo promedio vigente al consultar y puede diferir del margen real que existía al vender. No descuenta impuestos, gastos, comisiones ni otros costos operativos. Los productos sin costo registrado quedan fuera de la suma y aparecen identificados en el detalle.</w:t>
      </w:r>
    </w:p>
    <w:p>
      <w:r>
        <w:br w:type="page"/>
      </w:r>
    </w:p>
    <w:p>
      <w:pPr>
        <w:pStyle w:val="Heading1"/>
      </w:pPr>
      <w:r>
        <w:t>Usuarios iniciales de la aplicación</w:t>
      </w:r>
    </w:p>
    <w:p>
      <w:r>
        <w:t>Estas credenciales corresponden al inicio de sesión de PharmaBoost. No son credenciales de MySQL ni de Workbench. La contraseña inicial común es Pharma2026!; cámbiala antes del uso real.</w:t>
      </w:r>
    </w:p>
    <w:tbl>
      <w:tblPr>
        <w:tblW w:type="auto" w:w="0"/>
        <w:jc w:val="center"/>
        <w:tblLayout w:type="fixed"/>
        <w:tblLook w:firstColumn="1" w:firstRow="1" w:lastColumn="0" w:lastRow="0" w:noHBand="0" w:noVBand="1" w:val="04A0"/>
        <w:tblBorders>
          <w:top w:val="single" w:sz="5" w:color="D9E1DE"/>
          <w:left w:val="single" w:sz="5" w:color="D9E1DE"/>
          <w:bottom w:val="single" w:sz="5" w:color="D9E1DE"/>
          <w:right w:val="single" w:sz="5" w:color="D9E1DE"/>
          <w:insideH w:val="single" w:sz="5" w:color="D9E1DE"/>
          <w:insideV w:val="single" w:sz="5" w:color="D9E1DE"/>
        </w:tblBorders>
      </w:tblPr>
      <w:tblGrid>
        <w:gridCol w:w="3331"/>
        <w:gridCol w:w="3331"/>
        <w:gridCol w:w="3331"/>
      </w:tblGrid>
      <w:tr>
        <w:tc>
          <w:tcPr>
            <w:tcW w:type="dxa" w:w="3672"/>
            <w:vAlign w:val="center"/>
            <w:shd w:fill="164F45"/>
          </w:tcPr>
          <w:p>
            <w:pPr>
              <w:spacing w:after="40" w:before="40"/>
            </w:pPr>
            <w:r>
              <w:rPr>
                <w:rFonts w:ascii="Aptos" w:hAnsi="Aptos"/>
                <w:b/>
                <w:color w:val="FFFFFF"/>
                <w:sz w:val="18"/>
              </w:rPr>
              <w:t>Correo</w:t>
            </w:r>
          </w:p>
        </w:tc>
        <w:tc>
          <w:tcPr>
            <w:tcW w:type="dxa" w:w="2664"/>
            <w:vAlign w:val="center"/>
            <w:shd w:fill="164F45"/>
          </w:tcPr>
          <w:p>
            <w:pPr>
              <w:spacing w:after="40" w:before="40"/>
            </w:pPr>
            <w:r>
              <w:rPr>
                <w:rFonts w:ascii="Aptos" w:hAnsi="Aptos"/>
                <w:b/>
                <w:color w:val="FFFFFF"/>
                <w:sz w:val="18"/>
              </w:rPr>
              <w:t>Rol</w:t>
            </w:r>
          </w:p>
        </w:tc>
        <w:tc>
          <w:tcPr>
            <w:tcW w:type="dxa" w:w="3528"/>
            <w:vAlign w:val="center"/>
            <w:shd w:fill="164F45"/>
          </w:tcPr>
          <w:p>
            <w:pPr>
              <w:spacing w:after="40" w:before="40"/>
            </w:pPr>
            <w:r>
              <w:rPr>
                <w:rFonts w:ascii="Aptos" w:hAnsi="Aptos"/>
                <w:b/>
                <w:color w:val="FFFFFF"/>
                <w:sz w:val="18"/>
              </w:rPr>
              <w:t>Nombre</w:t>
            </w:r>
          </w:p>
        </w:tc>
      </w:tr>
      <w:tr>
        <w:tc>
          <w:tcPr>
            <w:tcW w:type="dxa" w:w="3672"/>
            <w:vAlign w:val="center"/>
          </w:tcPr>
          <w:p>
            <w:pPr>
              <w:spacing w:after="40" w:before="40"/>
            </w:pPr>
            <w:r>
              <w:rPr>
                <w:rFonts w:ascii="Aptos" w:hAnsi="Aptos"/>
                <w:sz w:val="18"/>
              </w:rPr>
              <w:t>admin@pharmaboost.local</w:t>
            </w:r>
          </w:p>
        </w:tc>
        <w:tc>
          <w:tcPr>
            <w:tcW w:type="dxa" w:w="2664"/>
            <w:vAlign w:val="center"/>
          </w:tcPr>
          <w:p>
            <w:pPr>
              <w:spacing w:after="40" w:before="40"/>
            </w:pPr>
            <w:r>
              <w:rPr>
                <w:rFonts w:ascii="Aptos" w:hAnsi="Aptos"/>
                <w:sz w:val="18"/>
              </w:rPr>
              <w:t>Administrador</w:t>
            </w:r>
          </w:p>
        </w:tc>
        <w:tc>
          <w:tcPr>
            <w:tcW w:type="dxa" w:w="3528"/>
            <w:vAlign w:val="center"/>
          </w:tcPr>
          <w:p>
            <w:pPr>
              <w:spacing w:after="40" w:before="40"/>
            </w:pPr>
            <w:r>
              <w:rPr>
                <w:rFonts w:ascii="Aptos" w:hAnsi="Aptos"/>
                <w:sz w:val="18"/>
              </w:rPr>
              <w:t>Samuel Palacio</w:t>
            </w:r>
          </w:p>
        </w:tc>
      </w:tr>
      <w:tr>
        <w:tc>
          <w:tcPr>
            <w:tcW w:type="dxa" w:w="3672"/>
            <w:vAlign w:val="center"/>
            <w:shd w:fill="F2F6F4"/>
          </w:tcPr>
          <w:p>
            <w:pPr>
              <w:spacing w:after="40" w:before="40"/>
            </w:pPr>
            <w:r>
              <w:rPr>
                <w:rFonts w:ascii="Aptos" w:hAnsi="Aptos"/>
                <w:sz w:val="18"/>
              </w:rPr>
              <w:t>ventas@pharmaboost.local</w:t>
            </w:r>
          </w:p>
        </w:tc>
        <w:tc>
          <w:tcPr>
            <w:tcW w:type="dxa" w:w="2664"/>
            <w:vAlign w:val="center"/>
            <w:shd w:fill="F2F6F4"/>
          </w:tcPr>
          <w:p>
            <w:pPr>
              <w:spacing w:after="40" w:before="40"/>
            </w:pPr>
            <w:r>
              <w:rPr>
                <w:rFonts w:ascii="Aptos" w:hAnsi="Aptos"/>
                <w:sz w:val="18"/>
              </w:rPr>
              <w:t>Ventas y Marketing</w:t>
            </w:r>
          </w:p>
        </w:tc>
        <w:tc>
          <w:tcPr>
            <w:tcW w:type="dxa" w:w="3528"/>
            <w:vAlign w:val="center"/>
            <w:shd w:fill="F2F6F4"/>
          </w:tcPr>
          <w:p>
            <w:pPr>
              <w:spacing w:after="40" w:before="40"/>
            </w:pPr>
            <w:r>
              <w:rPr>
                <w:rFonts w:ascii="Aptos" w:hAnsi="Aptos"/>
                <w:sz w:val="18"/>
              </w:rPr>
              <w:t>Laura Restrepo</w:t>
            </w:r>
          </w:p>
        </w:tc>
      </w:tr>
      <w:tr>
        <w:tc>
          <w:tcPr>
            <w:tcW w:type="dxa" w:w="3672"/>
            <w:vAlign w:val="center"/>
          </w:tcPr>
          <w:p>
            <w:pPr>
              <w:spacing w:after="40" w:before="40"/>
            </w:pPr>
            <w:r>
              <w:rPr>
                <w:rFonts w:ascii="Aptos" w:hAnsi="Aptos"/>
                <w:sz w:val="18"/>
              </w:rPr>
              <w:t>agente@pharmaboost.local</w:t>
            </w:r>
          </w:p>
        </w:tc>
        <w:tc>
          <w:tcPr>
            <w:tcW w:type="dxa" w:w="2664"/>
            <w:vAlign w:val="center"/>
          </w:tcPr>
          <w:p>
            <w:pPr>
              <w:spacing w:after="40" w:before="40"/>
            </w:pPr>
            <w:r>
              <w:rPr>
                <w:rFonts w:ascii="Aptos" w:hAnsi="Aptos"/>
                <w:sz w:val="18"/>
              </w:rPr>
              <w:t>Agente comercial</w:t>
            </w:r>
          </w:p>
        </w:tc>
        <w:tc>
          <w:tcPr>
            <w:tcW w:type="dxa" w:w="3528"/>
            <w:vAlign w:val="center"/>
          </w:tcPr>
          <w:p>
            <w:pPr>
              <w:spacing w:after="40" w:before="40"/>
            </w:pPr>
            <w:r>
              <w:rPr>
                <w:rFonts w:ascii="Aptos" w:hAnsi="Aptos"/>
                <w:sz w:val="18"/>
              </w:rPr>
              <w:t>Daniel Muñoz</w:t>
            </w:r>
          </w:p>
        </w:tc>
      </w:tr>
      <w:tr>
        <w:tc>
          <w:tcPr>
            <w:tcW w:type="dxa" w:w="3672"/>
            <w:vAlign w:val="center"/>
            <w:shd w:fill="F2F6F4"/>
          </w:tcPr>
          <w:p>
            <w:pPr>
              <w:spacing w:after="40" w:before="40"/>
            </w:pPr>
            <w:r>
              <w:rPr>
                <w:rFonts w:ascii="Aptos" w:hAnsi="Aptos"/>
                <w:sz w:val="18"/>
              </w:rPr>
              <w:t>agente2@pharmaboost.local</w:t>
            </w:r>
          </w:p>
        </w:tc>
        <w:tc>
          <w:tcPr>
            <w:tcW w:type="dxa" w:w="2664"/>
            <w:vAlign w:val="center"/>
            <w:shd w:fill="F2F6F4"/>
          </w:tcPr>
          <w:p>
            <w:pPr>
              <w:spacing w:after="40" w:before="40"/>
            </w:pPr>
            <w:r>
              <w:rPr>
                <w:rFonts w:ascii="Aptos" w:hAnsi="Aptos"/>
                <w:sz w:val="18"/>
              </w:rPr>
              <w:t>Agente comercial</w:t>
            </w:r>
          </w:p>
        </w:tc>
        <w:tc>
          <w:tcPr>
            <w:tcW w:type="dxa" w:w="3528"/>
            <w:vAlign w:val="center"/>
            <w:shd w:fill="F2F6F4"/>
          </w:tcPr>
          <w:p>
            <w:pPr>
              <w:spacing w:after="40" w:before="40"/>
            </w:pPr>
            <w:r>
              <w:rPr>
                <w:rFonts w:ascii="Aptos" w:hAnsi="Aptos"/>
                <w:sz w:val="18"/>
              </w:rPr>
              <w:t>Valentina Ruiz</w:t>
            </w:r>
          </w:p>
        </w:tc>
      </w:tr>
      <w:tr>
        <w:tc>
          <w:tcPr>
            <w:tcW w:type="dxa" w:w="3672"/>
            <w:vAlign w:val="center"/>
          </w:tcPr>
          <w:p>
            <w:pPr>
              <w:spacing w:after="40" w:before="40"/>
            </w:pPr>
            <w:r>
              <w:rPr>
                <w:rFonts w:ascii="Aptos" w:hAnsi="Aptos"/>
                <w:sz w:val="18"/>
              </w:rPr>
              <w:t>tic@pharmaboost.local</w:t>
            </w:r>
          </w:p>
        </w:tc>
        <w:tc>
          <w:tcPr>
            <w:tcW w:type="dxa" w:w="2664"/>
            <w:vAlign w:val="center"/>
          </w:tcPr>
          <w:p>
            <w:pPr>
              <w:spacing w:after="40" w:before="40"/>
            </w:pPr>
            <w:r>
              <w:rPr>
                <w:rFonts w:ascii="Aptos" w:hAnsi="Aptos"/>
                <w:sz w:val="18"/>
              </w:rPr>
              <w:t>Operaciones TIC</w:t>
            </w:r>
          </w:p>
        </w:tc>
        <w:tc>
          <w:tcPr>
            <w:tcW w:type="dxa" w:w="3528"/>
            <w:vAlign w:val="center"/>
          </w:tcPr>
          <w:p>
            <w:pPr>
              <w:spacing w:after="40" w:before="40"/>
            </w:pPr>
            <w:r>
              <w:rPr>
                <w:rFonts w:ascii="Aptos" w:hAnsi="Aptos"/>
                <w:sz w:val="18"/>
              </w:rPr>
              <w:t>Operaciones TIC</w:t>
            </w:r>
          </w:p>
        </w:tc>
      </w:tr>
    </w:tbl>
    <w:p>
      <w:pPr>
        <w:pStyle w:val="Heading1"/>
      </w:pPr>
      <w:r>
        <w:t>MySQL Workbench</w:t>
      </w:r>
    </w:p>
    <w:p>
      <w:r>
        <w:t>Conéctate a la instancia local configurada en el equipo. Si la base pharmaboost_js no está instalada, ejecuta database/schema.sql desde Workbench y actualiza Schemas; luego ejecuta npm run setup para insertar los datos iniciales de la aplicación. Para una base ya instalada no recrees el esquema ni vuelvas a cargar datos. Usa database/consultas_workbench.sql para consultar usuarios, promociones, pedidos y auditoría. Workbench es el cliente administrativo y no sustituye al servicio MySQL80.</w:t>
      </w:r>
    </w:p>
    <w:p>
      <w:r>
        <w:t>No se requieren cambios de MySQL para esta versión. El documento no contiene credenciales de conexión a MySQL.</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D77"/>
        <w:sz w:val="16"/>
      </w:rPr>
      <w:t>PharmaBoost 2.38  ·  16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7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8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