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Productos asociados a tiendas</w:t>
      </w:r>
    </w:p>
    <w:p>
      <w:pPr>
        <w:jc w:val="left"/>
      </w:pPr>
      <w:r>
        <w:rPr>
          <w:b/>
          <w:color w:val="0E6158"/>
        </w:rPr>
        <w:t>PharmaBoost · Actualización 2.40 · 16 de octubre de 2026</w:t>
      </w:r>
    </w:p>
    <w:p>
      <w:r>
        <w:t>Esta actualización permite consultar, desde Tiendas → Ver tienda, los productos incluidos en las promociones asignadas a cada punto de venta. Los productos aparecen agrupados por promoción, con categoría, código y vigencia.</w:t>
      </w:r>
    </w:p>
    <w:p>
      <w:pPr>
        <w:pStyle w:val="Heading1"/>
      </w:pPr>
      <w:r>
        <w:t>Cambios entregados</w:t>
      </w:r>
    </w:p>
    <w:p>
      <w:r>
        <w:t>El detalle de cada tienda incorpora una sección de productos asociados. Administración ve las promociones asignadas a esa tienda; un agente ve los productos de la promoción vigente que tiene seleccionada. Si no hay productos asociados, se muestra un mensaje informativo.</w:t>
      </w:r>
    </w:p>
    <w:p>
      <w:r>
        <w:t>La pantalla aclara que la asociación comercial no equivale a inventario físico. PharmaBoost no registra existencias locales por tienda en este flujo.</w:t>
      </w:r>
    </w:p>
    <w:p>
      <w:pPr>
        <w:pStyle w:val="Heading1"/>
      </w:pPr>
      <w:r>
        <w:t>Pruebas y alcance técnico</w:t>
      </w:r>
    </w:p>
    <w:p>
      <w:r>
        <w:t>No se ejecutaron pruebas automatizadas en esta actualización. Se revisaron los cambios del código y el diff. No se modificaron el esquema MySQL, las cuentas iniciales ni las instrucciones de Workbench. Al ser una actualización de interfaz, no requiere migración de base de datos. Para actualizar una sesión ya abierta, recarga la aplicación con Ctrl+F5.</w:t>
      </w:r>
    </w:p>
    <w:p>
      <w:pPr>
        <w:pStyle w:val="Heading1"/>
      </w:pPr>
      <w:r>
        <w:t>Usuarios iniciales</w:t>
      </w:r>
    </w:p>
    <w:p>
      <w:r>
        <w:t>Contraseña inicial para estas cuentas de la aplicación: Pharma2026! Cambiarla para uso real. No es una credencial de MySQL.</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sz w:val="18"/>
              </w:rPr>
              <w:t>Correo</w:t>
            </w:r>
          </w:p>
        </w:tc>
        <w:tc>
          <w:tcPr>
            <w:tcW w:type="dxa" w:w="3312"/>
          </w:tcPr>
          <w:p>
            <w:pPr>
              <w:spacing w:after="20"/>
            </w:pPr>
            <w:r>
              <w:rPr>
                <w:sz w:val="18"/>
              </w:rPr>
              <w:t>Rol</w:t>
            </w:r>
          </w:p>
        </w:tc>
        <w:tc>
          <w:tcPr>
            <w:tcW w:type="dxa" w:w="3312"/>
          </w:tcPr>
          <w:p>
            <w:pPr>
              <w:spacing w:after="20"/>
            </w:pPr>
            <w:r>
              <w:rPr>
                <w:sz w:val="18"/>
              </w:rPr>
              <w:t>Fabricante</w:t>
            </w:r>
          </w:p>
        </w:tc>
      </w:tr>
      <w:tr>
        <w:tc>
          <w:tcPr>
            <w:tcW w:type="dxa" w:w="3312"/>
          </w:tcPr>
          <w:p>
            <w:pPr>
              <w:spacing w:after="20"/>
            </w:pPr>
            <w:r>
              <w:rPr>
                <w:sz w:val="18"/>
              </w:rPr>
              <w:t>admin@pharmaboost.local</w:t>
            </w:r>
          </w:p>
        </w:tc>
        <w:tc>
          <w:tcPr>
            <w:tcW w:type="dxa" w:w="3312"/>
          </w:tcPr>
          <w:p>
            <w:pPr>
              <w:spacing w:after="20"/>
            </w:pPr>
            <w:r>
              <w:rPr>
                <w:sz w:val="18"/>
              </w:rPr>
              <w:t>Administrador</w:t>
            </w:r>
          </w:p>
        </w:tc>
        <w:tc>
          <w:tcPr>
            <w:tcW w:type="dxa" w:w="3312"/>
          </w:tcPr>
          <w:p>
            <w:pPr>
              <w:spacing w:after="20"/>
            </w:pPr>
            <w:r>
              <w:rPr>
                <w:sz w:val="18"/>
              </w:rPr>
              <w:t>Deutsche Pharma</w:t>
            </w:r>
          </w:p>
        </w:tc>
      </w:tr>
      <w:tr>
        <w:tc>
          <w:tcPr>
            <w:tcW w:type="dxa" w:w="3312"/>
          </w:tcPr>
          <w:p>
            <w:pPr>
              <w:spacing w:after="20"/>
            </w:pPr>
            <w:r>
              <w:rPr>
                <w:sz w:val="18"/>
              </w:rPr>
              <w:t>ventas@pharmaboost.local</w:t>
            </w:r>
          </w:p>
        </w:tc>
        <w:tc>
          <w:tcPr>
            <w:tcW w:type="dxa" w:w="3312"/>
          </w:tcPr>
          <w:p>
            <w:pPr>
              <w:spacing w:after="20"/>
            </w:pPr>
            <w:r>
              <w:rPr>
                <w:sz w:val="18"/>
              </w:rPr>
              <w:t>Ventas y Marketing</w:t>
            </w:r>
          </w:p>
        </w:tc>
        <w:tc>
          <w:tcPr>
            <w:tcW w:type="dxa" w:w="3312"/>
          </w:tcPr>
          <w:p>
            <w:pPr>
              <w:spacing w:after="20"/>
            </w:pPr>
            <w:r>
              <w:rPr>
                <w:sz w:val="18"/>
              </w:rPr>
              <w:t>Deutsche Pharma</w:t>
            </w:r>
          </w:p>
        </w:tc>
      </w:tr>
      <w:tr>
        <w:tc>
          <w:tcPr>
            <w:tcW w:type="dxa" w:w="3312"/>
          </w:tcPr>
          <w:p>
            <w:pPr>
              <w:spacing w:after="20"/>
            </w:pPr>
            <w:r>
              <w:rPr>
                <w:sz w:val="18"/>
              </w:rPr>
              <w:t>agente@pharmaboost.local</w:t>
            </w:r>
          </w:p>
        </w:tc>
        <w:tc>
          <w:tcPr>
            <w:tcW w:type="dxa" w:w="3312"/>
          </w:tcPr>
          <w:p>
            <w:pPr>
              <w:spacing w:after="20"/>
            </w:pPr>
            <w:r>
              <w:rPr>
                <w:sz w:val="18"/>
              </w:rPr>
              <w:t>Agente comercial</w:t>
            </w:r>
          </w:p>
        </w:tc>
        <w:tc>
          <w:tcPr>
            <w:tcW w:type="dxa" w:w="3312"/>
          </w:tcPr>
          <w:p>
            <w:pPr>
              <w:spacing w:after="20"/>
            </w:pPr>
            <w:r>
              <w:rPr>
                <w:sz w:val="18"/>
              </w:rPr>
              <w:t>Laboratorios Nova</w:t>
            </w:r>
          </w:p>
        </w:tc>
      </w:tr>
      <w:tr>
        <w:tc>
          <w:tcPr>
            <w:tcW w:type="dxa" w:w="3312"/>
          </w:tcPr>
          <w:p>
            <w:pPr>
              <w:spacing w:after="20"/>
            </w:pPr>
            <w:r>
              <w:rPr>
                <w:sz w:val="18"/>
              </w:rPr>
              <w:t>agente2@pharmaboost.local</w:t>
            </w:r>
          </w:p>
        </w:tc>
        <w:tc>
          <w:tcPr>
            <w:tcW w:type="dxa" w:w="3312"/>
          </w:tcPr>
          <w:p>
            <w:pPr>
              <w:spacing w:after="20"/>
            </w:pPr>
            <w:r>
              <w:rPr>
                <w:sz w:val="18"/>
              </w:rPr>
              <w:t>Agente comercial</w:t>
            </w:r>
          </w:p>
        </w:tc>
        <w:tc>
          <w:tcPr>
            <w:tcW w:type="dxa" w:w="3312"/>
          </w:tcPr>
          <w:p>
            <w:pPr>
              <w:spacing w:after="20"/>
            </w:pPr>
            <w:r>
              <w:rPr>
                <w:sz w:val="18"/>
              </w:rPr>
              <w:t>Vitalis Pharma</w:t>
            </w:r>
          </w:p>
        </w:tc>
      </w:tr>
      <w:tr>
        <w:tc>
          <w:tcPr>
            <w:tcW w:type="dxa" w:w="3312"/>
          </w:tcPr>
          <w:p>
            <w:pPr>
              <w:spacing w:after="20"/>
            </w:pPr>
            <w:r>
              <w:rPr>
                <w:sz w:val="18"/>
              </w:rPr>
              <w:t>tic@pharmaboost.local</w:t>
            </w:r>
          </w:p>
        </w:tc>
        <w:tc>
          <w:tcPr>
            <w:tcW w:type="dxa" w:w="3312"/>
          </w:tcPr>
          <w:p>
            <w:pPr>
              <w:spacing w:after="20"/>
            </w:pPr>
            <w:r>
              <w:rPr>
                <w:sz w:val="18"/>
              </w:rPr>
              <w:t>Operaciones TIC</w:t>
            </w:r>
          </w:p>
        </w:tc>
        <w:tc>
          <w:tcPr>
            <w:tcW w:type="dxa" w:w="3312"/>
          </w:tcPr>
          <w:p>
            <w:pPr>
              <w:spacing w:after="20"/>
            </w:pPr>
            <w:r>
              <w:rPr>
                <w:sz w:val="18"/>
              </w:rPr>
              <w:t>Deutsche Pharma</w:t>
            </w:r>
          </w:p>
        </w:tc>
      </w:tr>
    </w:tbl>
    <w:p>
      <w:pPr>
        <w:pStyle w:val="Heading1"/>
      </w:pPr>
      <w:r>
        <w:t>MySQL Workbench</w:t>
      </w:r>
    </w:p>
    <w:p>
      <w:r>
        <w:t>Abre la conexión local habitual a 127.0.0.1, puerto 3306. Si la base aún no fue creada por el instalador, ejecuta database/schema.sql y actualiza Schemas. Luego ejecuta npm run setup para cargar los datos iniciales de la aplicación. Usa database/consultas_workbench.sql para consultar usuarios, promociones, pedidos y auditoría. Workbench administra MySQL y no reemplaza el servicio MySQL80.</w:t>
      </w:r>
    </w:p>
    <w:p>
      <w:r>
        <w:t>No se incluyen credenciales de MySQL en este documento. La contraseña inicial indicada arriba corresponde solo al inicio de sesión de PharmaBoost.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PharmaBoost · Versión 2.40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7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