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Cambios de PharmaBoost</w:t>
      </w:r>
    </w:p>
    <w:p>
      <w:r>
        <w:t>Versión 2.0 • 16 de septiembre de 2026</w:t>
      </w:r>
    </w:p>
    <w:p>
      <w:r>
        <w:t>Esta actualización conserva la experiencia del proyecto anterior y traslada la aplicación a HTML, CSS y JavaScript, con Node.js y MySQL. El proyecto incluye los flujos comerciales, usuarios de prueba e instalación para Windows. MySQL Workbench permite consultar y administrar la nueva base pharmaboost_js.</w:t>
      </w:r>
    </w:p>
    <w:p>
      <w:pPr>
        <w:pStyle w:val="Heading1"/>
      </w:pPr>
      <w:r>
        <w:t>Cambios entregados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272"/>
      </w:tblGrid>
      <w:tr>
        <w:trPr>
          <w:cantSplit/>
        </w:trPr>
        <w:tc>
          <w:tcPr>
            <w:tcW w:type="dxa" w:w="2232"/>
            <w:shd w:fill="EAEFED"/>
          </w:tcPr>
          <w:p>
            <w:pPr>
              <w:spacing w:after="100" w:before="100"/>
            </w:pPr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7272"/>
            <w:shd w:fill="EAEFED"/>
          </w:tcPr>
          <w:p>
            <w:pPr>
              <w:spacing w:after="100" w:before="100"/>
            </w:pPr>
            <w:r>
              <w:rPr>
                <w:b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100"/>
            </w:pPr>
            <w:r>
              <w:rPr>
                <w:sz w:val="19"/>
              </w:rPr>
              <w:t>Interfaz</w:t>
            </w:r>
          </w:p>
        </w:tc>
        <w:tc>
          <w:tcPr>
            <w:tcW w:type="dxa" w:w="7272"/>
          </w:tcPr>
          <w:p>
            <w:pPr>
              <w:spacing w:after="100" w:before="100"/>
            </w:pPr>
            <w:r>
              <w:rPr>
                <w:sz w:val="19"/>
              </w:rPr>
              <w:t>Se conserva el diseño adaptable a computador y celular, con navegación por rol y panel de indicadores.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100"/>
            </w:pPr>
            <w:r>
              <w:rPr>
                <w:sz w:val="19"/>
              </w:rPr>
              <w:t>Servidor</w:t>
            </w:r>
          </w:p>
        </w:tc>
        <w:tc>
          <w:tcPr>
            <w:tcW w:type="dxa" w:w="7272"/>
          </w:tcPr>
          <w:p>
            <w:pPr>
              <w:spacing w:after="100" w:before="100"/>
            </w:pPr>
            <w:r>
              <w:rPr>
                <w:sz w:val="19"/>
              </w:rPr>
              <w:t>Se reemplaza Python por JavaScript en Node.js. Servidor HTTP sin frameworks; controlador mysql2 para MySQL.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100"/>
            </w:pPr>
            <w:r>
              <w:rPr>
                <w:sz w:val="19"/>
              </w:rPr>
              <w:t>Base de datos</w:t>
            </w:r>
          </w:p>
        </w:tc>
        <w:tc>
          <w:tcPr>
            <w:tcW w:type="dxa" w:w="7272"/>
          </w:tcPr>
          <w:p>
            <w:pPr>
              <w:spacing w:after="100" w:before="100"/>
            </w:pPr>
            <w:r>
              <w:rPr>
                <w:sz w:val="19"/>
              </w:rPr>
              <w:t>Se reemplaza SQLite por MySQL. Se entregan 15 tablas InnoDB, claves foráneas, índices y consultas para Workbench.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100"/>
            </w:pPr>
            <w:r>
              <w:rPr>
                <w:sz w:val="19"/>
              </w:rPr>
              <w:t>Accesos</w:t>
            </w:r>
          </w:p>
        </w:tc>
        <w:tc>
          <w:tcPr>
            <w:tcW w:type="dxa" w:w="7272"/>
          </w:tcPr>
          <w:p>
            <w:pPr>
              <w:spacing w:after="100" w:before="100"/>
            </w:pPr>
            <w:r>
              <w:rPr>
                <w:sz w:val="19"/>
              </w:rPr>
              <w:t>Inicio de sesión, solicitudes con aprobación, usuarios, fabricantes, perfiles y desactivación de cuentas.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100"/>
            </w:pPr>
            <w:r>
              <w:rPr>
                <w:sz w:val="19"/>
              </w:rPr>
              <w:t>Promociones y catálogo</w:t>
            </w:r>
          </w:p>
        </w:tc>
        <w:tc>
          <w:tcPr>
            <w:tcW w:type="dxa" w:w="7272"/>
          </w:tcPr>
          <w:p>
            <w:pPr>
              <w:spacing w:after="100" w:before="100"/>
            </w:pPr>
            <w:r>
              <w:rPr>
                <w:sz w:val="19"/>
              </w:rPr>
              <w:t>Vigencias, asignaciones, aviso de solapamiento, productos, precios, filtros y fotografías guardadas en MySQL.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100"/>
            </w:pPr>
            <w:r>
              <w:rPr>
                <w:sz w:val="19"/>
              </w:rPr>
              <w:t>Pedidos y visitas</w:t>
            </w:r>
          </w:p>
        </w:tc>
        <w:tc>
          <w:tcPr>
            <w:tcW w:type="dxa" w:w="7272"/>
          </w:tcPr>
          <w:p>
            <w:pPr>
              <w:spacing w:after="100" w:before="100"/>
            </w:pPr>
            <w:r>
              <w:rPr>
                <w:sz w:val="19"/>
              </w:rPr>
              <w:t>Confirmación del responsable, detalle de productos, visitas sin pedido, filtros y exportación CSV.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100"/>
            </w:pPr>
            <w:r>
              <w:rPr>
                <w:sz w:val="19"/>
              </w:rPr>
              <w:t>Trabajo sin conexión</w:t>
            </w:r>
          </w:p>
        </w:tc>
        <w:tc>
          <w:tcPr>
            <w:tcW w:type="dxa" w:w="7272"/>
          </w:tcPr>
          <w:p>
            <w:pPr>
              <w:spacing w:after="100" w:before="100"/>
            </w:pPr>
            <w:r>
              <w:rPr>
                <w:sz w:val="19"/>
              </w:rPr>
              <w:t>Borradores y cola por usuario en IndexedDB, apertura offline y reintentos sin duplicar pedidos.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100"/>
            </w:pPr>
            <w:r>
              <w:rPr>
                <w:sz w:val="19"/>
              </w:rPr>
              <w:t>Control operativo</w:t>
            </w:r>
          </w:p>
        </w:tc>
        <w:tc>
          <w:tcPr>
            <w:tcW w:type="dxa" w:w="7272"/>
          </w:tcPr>
          <w:p>
            <w:pPr>
              <w:spacing w:after="100" w:before="100"/>
            </w:pPr>
            <w:r>
              <w:rPr>
                <w:sz w:val="19"/>
              </w:rPr>
              <w:t>Validaciones en servidor, auditoría e importaciones JSON por fila para catálogo y tiendas.</w:t>
            </w:r>
          </w:p>
        </w:tc>
      </w:tr>
    </w:tbl>
    <w:p>
      <w:pPr>
        <w:pStyle w:val="Heading1"/>
      </w:pPr>
      <w:r>
        <w:t>Alcance de esta entrega</w:t>
      </w:r>
    </w:p>
    <w:p>
      <w:r>
        <w:t>Se entrega una versión funcional avanzada para uso y demostración local. La validación se realizó con una instancia MySQL aislada. La instalación en el MySQL habitual del equipo requiere introducir sus credenciales localmente. Abaco y DP permanecen como fuentes de importación manual; sus APIs reales no están conectadas.</w:t>
      </w:r>
    </w:p>
    <w:p>
      <w:r>
        <w:br w:type="page"/>
      </w:r>
    </w:p>
    <w:p>
      <w:pPr>
        <w:pStyle w:val="Heading1"/>
      </w:pPr>
      <w:r>
        <w:t>Instalación y acceso</w:t>
      </w:r>
    </w:p>
    <w:p>
      <w:r>
        <w:t>Requisitos: Windows, Node.js 22 o superior, MySQL 8.0.16 o superior y el servicio MySQL80 iniciado. MySQL Workbench es la herramienta de administración; el almacenamiento lo realiza MySQL Server.</w:t>
      </w:r>
    </w:p>
    <w:p>
      <w:r>
        <w:t>1. Abre PowerShell en la carpeta Pharmaboost1 del escritorio.</w:t>
      </w:r>
    </w:p>
    <w:p>
      <w:r>
        <w:t>2. Ejecuta powershell -ExecutionPolicy Bypass -File .\configurar.ps1 e introduce el usuario administrador y su contraseña de MySQL en el equipo.</w:t>
      </w:r>
    </w:p>
    <w:p>
      <w:r>
        <w:t>3. El instalador crea pharmaboost_js, las tablas y los datos iniciales. También crea una cuenta de aplicación con permisos limitados y guarda su configuración en .env. No guarda la contraseña de root.</w:t>
      </w:r>
    </w:p>
    <w:p>
      <w:r>
        <w:t>4. Ejecuta npm start o abre iniciar.bat. Entra a http://localhost:3080 desde el navegador.</w:t>
      </w:r>
    </w:p>
    <w:p>
      <w:r>
        <w:t>5. En Workbench, actualiza Schemas y abre pharmaboost_js. Usa database/consultas_workbench.sql para consultar los registros.</w:t>
      </w:r>
    </w:p>
    <w:p>
      <w:pPr>
        <w:pStyle w:val="Heading1"/>
      </w:pPr>
      <w:r>
        <w:t>Usuarios de demostración</w:t>
      </w:r>
    </w:p>
    <w:p>
      <w:r>
        <w:t>Contraseña inicial para todas las cuentas: Pharma2026! Las cuentas se insertan únicamente cuando la base no tiene usuarios. Son accesos de la aplicación, distintos de los usuarios de MySQL.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4392"/>
      </w:tblGrid>
      <w:tr>
        <w:trPr>
          <w:cantSplit/>
        </w:trPr>
        <w:tc>
          <w:tcPr>
            <w:tcW w:type="dxa" w:w="5112"/>
            <w:shd w:fill="EAEFED"/>
          </w:tcPr>
          <w:p>
            <w:pPr>
              <w:spacing w:after="100" w:before="100"/>
            </w:pPr>
            <w:r>
              <w:rPr>
                <w:b/>
                <w:sz w:val="19"/>
              </w:rPr>
              <w:t>Correo</w:t>
            </w:r>
          </w:p>
        </w:tc>
        <w:tc>
          <w:tcPr>
            <w:tcW w:type="dxa" w:w="4392"/>
            <w:shd w:fill="EAEFED"/>
          </w:tcPr>
          <w:p>
            <w:pPr>
              <w:spacing w:after="100" w:before="100"/>
            </w:pPr>
            <w:r>
              <w:rPr>
                <w:b/>
                <w:sz w:val="19"/>
              </w:rPr>
              <w:t>Rol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100" w:before="100"/>
            </w:pPr>
            <w:r>
              <w:rPr>
                <w:sz w:val="19"/>
              </w:rPr>
              <w:t>admin@pharmaboost.local</w:t>
            </w:r>
          </w:p>
        </w:tc>
        <w:tc>
          <w:tcPr>
            <w:tcW w:type="dxa" w:w="4392"/>
          </w:tcPr>
          <w:p>
            <w:pPr>
              <w:spacing w:after="100" w:before="100"/>
            </w:pPr>
            <w:r>
              <w:rPr>
                <w:sz w:val="19"/>
              </w:rPr>
              <w:t>Administrador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100" w:before="100"/>
            </w:pPr>
            <w:r>
              <w:rPr>
                <w:sz w:val="19"/>
              </w:rPr>
              <w:t>ventas@pharmaboost.local</w:t>
            </w:r>
          </w:p>
        </w:tc>
        <w:tc>
          <w:tcPr>
            <w:tcW w:type="dxa" w:w="4392"/>
          </w:tcPr>
          <w:p>
            <w:pPr>
              <w:spacing w:after="100" w:before="100"/>
            </w:pPr>
            <w:r>
              <w:rPr>
                <w:sz w:val="19"/>
              </w:rPr>
              <w:t>Ventas y Marketing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100" w:before="100"/>
            </w:pPr>
            <w:r>
              <w:rPr>
                <w:sz w:val="19"/>
              </w:rPr>
              <w:t>agente@pharmaboost.local</w:t>
            </w:r>
          </w:p>
        </w:tc>
        <w:tc>
          <w:tcPr>
            <w:tcW w:type="dxa" w:w="4392"/>
          </w:tcPr>
          <w:p>
            <w:pPr>
              <w:spacing w:after="100" w:before="100"/>
            </w:pPr>
            <w:r>
              <w:rPr>
                <w:sz w:val="19"/>
              </w:rPr>
              <w:t>Agente de Laboratorios Nova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100" w:before="100"/>
            </w:pPr>
            <w:r>
              <w:rPr>
                <w:sz w:val="19"/>
              </w:rPr>
              <w:t>agente2@pharmaboost.local</w:t>
            </w:r>
          </w:p>
        </w:tc>
        <w:tc>
          <w:tcPr>
            <w:tcW w:type="dxa" w:w="4392"/>
          </w:tcPr>
          <w:p>
            <w:pPr>
              <w:spacing w:after="100" w:before="100"/>
            </w:pPr>
            <w:r>
              <w:rPr>
                <w:sz w:val="19"/>
              </w:rPr>
              <w:t>Agente de Vitalis Pharma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100" w:before="100"/>
            </w:pPr>
            <w:r>
              <w:rPr>
                <w:sz w:val="19"/>
              </w:rPr>
              <w:t>tic@pharmaboost.local</w:t>
            </w:r>
          </w:p>
        </w:tc>
        <w:tc>
          <w:tcPr>
            <w:tcW w:type="dxa" w:w="4392"/>
          </w:tcPr>
          <w:p>
            <w:pPr>
              <w:spacing w:after="100" w:before="100"/>
            </w:pPr>
            <w:r>
              <w:rPr>
                <w:sz w:val="19"/>
              </w:rPr>
              <w:t>Operaciones TIC</w:t>
            </w:r>
          </w:p>
        </w:tc>
      </w:tr>
    </w:tbl>
    <w:p>
      <w:r>
        <w:t>El responsable de tienda no tiene cuenta propia. Revisa y confirma el pedido en el dispositivo del agente. El administrador gestiona usuarios y contraseñas desde Equipo y usuarios.</w:t>
      </w:r>
    </w:p>
    <w:p>
      <w:pPr>
        <w:pStyle w:val="Heading1"/>
      </w:pPr>
      <w:r>
        <w:t>Recorrido de comprobación</w:t>
      </w:r>
    </w:p>
    <w:p>
      <w:r>
        <w:t>Entra como agente, activa la simulación sin conexión en Sincronización y toma un pedido desde Tiendas. Agrega productos y confirma con el responsable. Revisa la cola pendiente y desactiva la simulación. Después entra como Ventas para consultar el pedido recibido. Con el administrador puedes crear promociones y asignar agentes, tiendas y productos.</w:t>
      </w:r>
    </w:p>
    <w:p>
      <w:r>
        <w:br w:type="page"/>
      </w:r>
    </w:p>
    <w:p>
      <w:pPr>
        <w:pStyle w:val="Heading1"/>
      </w:pPr>
      <w:r>
        <w:t>Validación de la actualización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272"/>
      </w:tblGrid>
      <w:tr>
        <w:trPr>
          <w:cantSplit/>
        </w:trPr>
        <w:tc>
          <w:tcPr>
            <w:tcW w:type="dxa" w:w="2232"/>
            <w:shd w:fill="EAEFED"/>
          </w:tcPr>
          <w:p>
            <w:pPr>
              <w:spacing w:after="100" w:before="100"/>
            </w:pPr>
            <w:r>
              <w:rPr>
                <w:b/>
                <w:sz w:val="19"/>
              </w:rPr>
              <w:t>Prueba</w:t>
            </w:r>
          </w:p>
        </w:tc>
        <w:tc>
          <w:tcPr>
            <w:tcW w:type="dxa" w:w="7272"/>
            <w:shd w:fill="EAEFED"/>
          </w:tcPr>
          <w:p>
            <w:pPr>
              <w:spacing w:after="100" w:before="100"/>
            </w:pPr>
            <w:r>
              <w:rPr>
                <w:b/>
                <w:sz w:val="19"/>
              </w:rPr>
              <w:t>Resultado observado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100"/>
            </w:pPr>
            <w:r>
              <w:rPr>
                <w:sz w:val="19"/>
              </w:rPr>
              <w:t>Pruebas unitarias</w:t>
            </w:r>
          </w:p>
        </w:tc>
        <w:tc>
          <w:tcPr>
            <w:tcW w:type="dxa" w:w="7272"/>
          </w:tcPr>
          <w:p>
            <w:pPr>
              <w:spacing w:after="100" w:before="100"/>
            </w:pPr>
            <w:r>
              <w:rPr>
                <w:sz w:val="19"/>
              </w:rPr>
              <w:t>4 pruebas superadas: contraseñas, validaciones, permisos y huellas de datos.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100"/>
            </w:pPr>
            <w:r>
              <w:rPr>
                <w:sz w:val="19"/>
              </w:rPr>
              <w:t>Integración MySQL</w:t>
            </w:r>
          </w:p>
        </w:tc>
        <w:tc>
          <w:tcPr>
            <w:tcW w:type="dxa" w:w="7272"/>
          </w:tcPr>
          <w:p>
            <w:pPr>
              <w:spacing w:after="100" w:before="100"/>
            </w:pPr>
            <w:r>
              <w:rPr>
                <w:sz w:val="19"/>
              </w:rPr>
              <w:t>33 comprobaciones superadas con MySQL 8.0.42 en una instancia aislada. Incluyen los cinco roles, pedidos, visitas, usuarios, fotos, promociones, importación y auditoría.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100"/>
            </w:pPr>
            <w:r>
              <w:rPr>
                <w:sz w:val="19"/>
              </w:rPr>
              <w:t>Consistencia de pedidos</w:t>
            </w:r>
          </w:p>
        </w:tc>
        <w:tc>
          <w:tcPr>
            <w:tcW w:type="dxa" w:w="7272"/>
          </w:tcPr>
          <w:p>
            <w:pPr>
              <w:spacing w:after="100" w:before="100"/>
            </w:pPr>
            <w:r>
              <w:rPr>
                <w:sz w:val="19"/>
              </w:rPr>
              <w:t>Dos solicitudes simultáneas con el mismo identificador producen un único pedido. Datos diferentes para el mismo identificador se rechazan.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100"/>
            </w:pPr>
            <w:r>
              <w:rPr>
                <w:sz w:val="19"/>
              </w:rPr>
              <w:t>Reglas comerciales</w:t>
            </w:r>
          </w:p>
        </w:tc>
        <w:tc>
          <w:tcPr>
            <w:tcW w:type="dxa" w:w="7272"/>
          </w:tcPr>
          <w:p>
            <w:pPr>
              <w:spacing w:after="100" w:before="100"/>
            </w:pPr>
            <w:r>
              <w:rPr>
                <w:sz w:val="19"/>
              </w:rPr>
              <w:t>Se rechazan productos ajenos a la subgama, tiendas no asignadas y pedidos no confirmados. Cambios de precio capturados offline pasan a revisión.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100"/>
            </w:pPr>
            <w:r>
              <w:rPr>
                <w:sz w:val="19"/>
              </w:rPr>
              <w:t>Interfaz en Edge</w:t>
            </w:r>
          </w:p>
        </w:tc>
        <w:tc>
          <w:tcPr>
            <w:tcW w:type="dxa" w:w="7272"/>
          </w:tcPr>
          <w:p>
            <w:pPr>
              <w:spacing w:after="100" w:before="100"/>
            </w:pPr>
            <w:r>
              <w:rPr>
                <w:sz w:val="19"/>
              </w:rPr>
              <w:t>Acceso, ocho módulos, pedido offline, sincronización posterior y recarga sin red verificados sin errores JavaScript.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100" w:before="100"/>
            </w:pPr>
            <w:r>
              <w:rPr>
                <w:sz w:val="19"/>
              </w:rPr>
              <w:t>Vista móvil</w:t>
            </w:r>
          </w:p>
        </w:tc>
        <w:tc>
          <w:tcPr>
            <w:tcW w:type="dxa" w:w="7272"/>
          </w:tcPr>
          <w:p>
            <w:pPr>
              <w:spacing w:after="100" w:before="100"/>
            </w:pPr>
            <w:r>
              <w:rPr>
                <w:sz w:val="19"/>
              </w:rPr>
              <w:t>Revisada a 390 píxeles de ancho, sin desbordamiento horizontal. También se revisó el panel de escritorio.</w:t>
            </w:r>
          </w:p>
        </w:tc>
      </w:tr>
    </w:tbl>
    <w:p>
      <w:pPr>
        <w:pStyle w:val="Heading1"/>
      </w:pPr>
      <w:r>
        <w:t>Arquitectura y conservación de datos</w:t>
      </w:r>
    </w:p>
    <w:p>
      <w:r>
        <w:t>El navegador solicita operaciones al servidor Node.js. El servidor comprueba la sesión y los permisos, valida las reglas de negocio y guarda los cambios con transacciones en MySQL. Las contraseñas utilizan PBKDF2 con salt; la sesión usa una cookie HttpOnly. El navegador conserva copias locales, borradores y pedidos pendientes para interrupciones de conectividad.</w:t>
      </w:r>
    </w:p>
    <w:p>
      <w:r>
        <w:t>Los archivos principales se organizan en web, server, database, scripts, tests y docs. El esquema SQL permite generar un diagrama EER desde Reverse Engineer en Workbench. No se migraron registros del proyecto anterior. Para respaldo usa Data Export en Workbench con estructura y datos.</w:t>
      </w:r>
    </w:p>
    <w:p>
      <w:pPr>
        <w:pStyle w:val="Heading1"/>
      </w:pPr>
      <w:r>
        <w:t>Pendientes para un despliegue real</w:t>
      </w:r>
    </w:p>
    <w:p>
      <w:r>
        <w:t>Completar la instalación con las credenciales locales del MySQL habitual; integrar las APIs reales de Abaco y DP; configurar HTTPS, respaldo programado y operación con TIC. El acceso offline dura hasta 12 horas y no puede comprobar revocaciones hasta recuperar conexión. No se debe borrar el almacenamiento del navegador con pedidos pendientes. La logística y el cumplimiento posterior están fuera del alcance definido en el análisis.</w:t>
      </w:r>
    </w:p>
    <w:p>
      <w:pPr>
        <w:pStyle w:val="Heading1"/>
      </w:pPr>
      <w:r>
        <w:t>Documentación de próximas versiones</w:t>
      </w:r>
    </w:p>
    <w:p>
      <w:r>
        <w:t>Se registró en AGENTS.md la preferencia de entregar un documento Word nuevo en cada actualización. Cada informe deberá describir los cambios, las pruebas y los pendientes, conservando los informes anteriores. La lista de usuarios se incluye también en docs/USUARIOS.md.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Cambios de PharmaBoost versión 2.0</dc:title>
  <dc:subject>Migración a JavaScript y MySQL</dc:subject>
  <dc:creator>PharmaBoost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