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Imágenes de productos en modo oscuro</w:t>
      </w:r>
    </w:p>
    <w:p>
      <w:r>
        <w:t>PharmaBoost versión 2.10 • 18 de septiembre de 2026</w:t>
      </w:r>
    </w:p>
    <w:p>
      <w:r>
        <w:t>Esta actualización mejora la presentación del catálogo en modo oscuro. La zona superior de cada tarjeta utiliza un fondo verde oscuro, integrado con la interfaz. Cada fotografía conserva un recuadro blanco delimitado, con bordes redondeados y espacio interior uniforme.</w:t>
      </w:r>
    </w:p>
    <w:p>
      <w:pPr>
        <w:pStyle w:val="Heading2"/>
      </w:pPr>
      <w:r>
        <w:t>Cambios y uso</w:t>
      </w:r>
    </w:p>
    <w:p>
      <w:r>
        <w:t>El cambio se aplica al catálogo interno, al catálogo público y al detalle público. La vista previa de fotos también recibe un marco oscuro. Las etiquetas de categoría tienen colores adaptados al tema. Las imágenes mantienen su proporción mediante object-fit: contain; no se recortan ni se alteran sus colores.</w:t>
      </w:r>
    </w:p>
    <w:p>
      <w:r>
        <w:t>Abre http://localhost:3080 y recarga con Ctrl+F5. Usa el selector de sol y luna de la cabecera para cambiar de tema. Si el servidor está detenido, ejecuta iniciar.bat. La apariencia del modo claro se conserva.</w:t>
      </w:r>
    </w:p>
    <w:p>
      <w:pPr>
        <w:pStyle w:val="Heading2"/>
      </w:pPr>
      <w:r>
        <w:t>Pruebas realizadas y limitaciones</w:t>
      </w:r>
    </w:p>
    <w:p>
      <w:r>
        <w:t>Verificación en Edge del catálogo interno y público en modo oscuro, inspección visual de capturas y comprobación del catálogo público a 390 píxeles sin desbordamiento horizontal. El fondo del marco se comprobó como RGB 34, 55, 46. No se cambiaron fotografías, precios, pedidos ni registros de MySQL.</w:t>
      </w:r>
    </w:p>
    <w:p>
      <w:r>
        <w:t>Los fondos blancos o grises contenidos en las fotografías originales permanecen visibles. El ajuste organiza su presentación; no elimina el fondo de los archivos ni modifica el empaque mostrado.</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Si una contraseña ya fue cambiada, utiliza la nueva. El manual completo v2.8 y la guía de cabecera v2.9 siguen disponibles en docs.</w:t>
      </w:r>
    </w:p>
    <w:p>
      <w:pPr>
        <w:pStyle w:val="Heading2"/>
      </w:pPr>
      <w:r>
        <w:t>MySQL Workbench</w:t>
      </w:r>
    </w:p>
    <w:p>
      <w:r>
        <w:t>No se requiere cambiar el esquema ni reinstalar la base pharmaboost_js. Conserva iniciado MySQL80. En Workbench puedes consultar database/consultas_workbench.sql y usar Server → Data Export para respaldar estructura y datos. No se incluyen credenciales de MySQL en este informe.</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Actualización 2.10 • 18 de septiembre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