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Inventario y pruebas de PharmaBoost</w:t>
      </w:r>
    </w:p>
    <w:p>
      <w:r>
        <w:t>Versión 2.20 • 25 de septiembre de 2026 • Guía para Samuel Palacio</w:t>
      </w:r>
    </w:p>
    <w:p>
      <w:r>
        <w:t>Esta actualización adapta la lógica de compras de Pappertech al inventario existente de PharmaBoost: registra el tipo y motivo del movimiento, calcula el costo promedio y muestra cuánto deja cada unidad. También corrige problemas encontrados al revisar validaciones y seguridad, siguiendo los temas de las imágenes suministradas.</w:t>
      </w:r>
    </w:p>
    <w:p>
      <w:pPr>
        <w:pStyle w:val="Heading2"/>
      </w:pPr>
      <w:r>
        <w:t>Registrar una compra o una entrada inicial</w:t>
      </w:r>
    </w:p>
    <w:p>
      <w:r>
        <w:t>1. Entra como Administrador o Ventas. Abre Inventario y pulsa Movimiento junto al producto. Si aún no existe, el Administrador debe crearlo primero desde Catálogo con su fabricante, precio y descripción.</w:t>
      </w:r>
    </w:p>
    <w:p>
      <w:r>
        <w:t>2. Selecciona Entrada y el motivo Compra a proveedor o Inventario inicial. Para compras, el proveedor es obligatorio. Escribe la factura o referencia si la tienes.</w:t>
      </w:r>
    </w:p>
    <w:p>
      <w:r>
        <w:t>3. Indica las unidades recibidas, el costo de compra por unidad y el stock mínimo. Si ya había existencias sin valorar, completa también el costo unitario del stock anterior, basado en tus registros de compra.</w:t>
      </w:r>
    </w:p>
    <w:p>
      <w:r>
        <w:t>4. Escribe el porcentaje sobre costo. Marca Calcular precio de venta si quieres que el servidor actualice el precio del catálogo usando el costo promedio. Guarda el movimiento. Las existencias y el historial se actualizan al sincronizar la respuesta.</w:t>
      </w:r>
    </w:p>
    <w:p>
      <w:pPr>
        <w:pStyle w:val="Heading2"/>
      </w:pPr>
      <w:r>
        <w:t>Cómo se calcula lo que ganas</w:t>
      </w:r>
    </w:p>
    <w:p>
      <w:r>
        <w:t>Costo promedio = (existencias anteriores × costo promedio anterior + unidades nuevas × costo de compra nuevo) ÷ existencias resultantes. El costo se redondea a dos decimales. El precio sugerido se redondea al peso colombiano: costo promedio × (1 + porcentaje / 100).</w:t>
      </w:r>
    </w:p>
    <w:p>
      <w:r>
        <w:t>Ejemplo: 10 unidades a $10.000 y una compra de 10 unidades a $20.000 dejan 20 unidades con costo promedio $15.000. Con 30% sobre costo, el precio será $19.500 y la ganancia bruta estimada por unidad será $4.500. Ese 30% es recargo sobre costo; no equivale al margen sobre ventas, que sería 23,08%.</w:t>
      </w:r>
    </w:p>
    <w:p>
      <w:r>
        <w:t>Inventario muestra costo promedio, precio y ganancia por unidad. También muestra la ganancia al aplicar el descuento por cantidad. Un resultado negativo indica pérdida bruta. No incluye impuestos, transporte, comisiones ni otros gastos y no representa utilidad contable realizada.</w:t>
      </w:r>
    </w:p>
    <w:p>
      <w:r>
        <w:br w:type="page"/>
      </w:r>
    </w:p>
    <w:p>
      <w:pPr>
        <w:pStyle w:val="Heading1"/>
      </w:pPr>
      <w:r>
        <w:t>Movimientos y funcionamiento diario</w:t>
      </w:r>
    </w:p>
    <w:p>
      <w:pPr>
        <w:pStyle w:val="Heading2"/>
      </w:pPr>
      <w:r>
        <w:t>Tipos y motivos del inventario</w:t>
      </w:r>
    </w:p>
    <w:p>
      <w:r>
        <w:t>Entrada aumenta las existencias. Admite inventario inicial, compra a proveedor y ajuste manual. Salida reduce las existencias y admite ajuste manual o merma. Las salidas superiores al saldo disponible se rechazan. El proveedor se guarda como referencia textual; esta versión no crea un directorio de proveedores ni cuentas por pagar.</w:t>
      </w:r>
    </w:p>
    <w:p>
      <w:r>
        <w:t>Los despachos siguen descontando inventario desde el seguimiento de pedidos. No debes registrar otra salida manual para el mismo despacho. Los pedidos pendientes no reservan existencias. Las devoluciones se registran desde Devoluciones: cuarentena no aumenta el saldo disponible; reintegrar sí lo aumenta y conserva el costo promedio actual.</w:t>
      </w:r>
    </w:p>
    <w:p>
      <w:pPr>
        <w:pStyle w:val="Heading2"/>
      </w:pPr>
      <w:r>
        <w:t>Pedidos y visitas a tiendas</w:t>
      </w:r>
    </w:p>
    <w:p>
      <w:r>
        <w:t>El Administrador o Ventas prepara la promoción y asigna tiendas, productos y agentes. El agente abre Tiendas, selecciona la tienda y registra un pedido con cantidades, responsable y confirmación, o registra una visita sin pedido. Ventas recibe el pedido y avanza su seguimiento a preparación, despachado y entregado. El manual completo v2.8 describe estos flujos paso a paso.</w:t>
      </w:r>
    </w:p>
    <w:p>
      <w:r>
        <w:t>Se conserva el trabajo sin conexión para pedidos y visitas después de preparar los datos con conexión. Las compras y ajustes de inventario requieren conexión. Tras cambiar precios, los agentes deben sincronizar: los pedidos antiguos capturados sin señal pueden quedar en revisión por diferencia de precio.</w:t>
      </w:r>
    </w:p>
    <w:p>
      <w:pPr>
        <w:pStyle w:val="Heading2"/>
      </w:pPr>
      <w:r>
        <w:t>Registros anteriores y límites</w:t>
      </w:r>
    </w:p>
    <w:p>
      <w:r>
        <w:t>No se inventan costos para productos históricos. Si no hay valoración, se muestra Sin valorar. Una entrada sin costo vuelve a dejar pendiente la valoración de ese producto. El costo anterior solo se usa para valorar saldo histórico desconocido; no es una herramienta general de revaluación.</w:t>
      </w:r>
    </w:p>
    <w:p>
      <w:r>
        <w:t>La adaptación utiliza promedio ponderado y un producto por movimiento. No incorpora compras de varios productos en una sola factura, FIFO, lotes, vencimientos, múltiples bodegas ni utilidad histórica por venta. No se cambiaron las cantidades o precios existentes automáticamente. Los costos se guardan en el historial MySQL de operaciones sin cambiar el esquema.</w:t>
      </w:r>
    </w:p>
    <w:p>
      <w:pPr>
        <w:pStyle w:val="Heading2"/>
      </w:pPr>
      <w:r>
        <w:t>Acceso a información financiera</w:t>
      </w:r>
    </w:p>
    <w:p>
      <w:r>
        <w:t>Administración y Ventas consultan costos y ganancias. El catálogo público y los datos de agentes y TIC no incluyen esos campos. La auditoría de TIC omite los campos de valoración de movimientos. El almacenamiento local de una sesión autorizada puede conservar sus datos: debe usarse un dispositivo de confianza.</w:t>
      </w:r>
    </w:p>
    <w:p>
      <w:r>
        <w:br w:type="page"/>
      </w:r>
    </w:p>
    <w:p>
      <w:pPr>
        <w:pStyle w:val="Heading1"/>
      </w:pPr>
      <w:r>
        <w:t>Pruebas y puesta en marcha</w:t>
      </w:r>
    </w:p>
    <w:p>
      <w:pPr>
        <w:pStyle w:val="Heading2"/>
      </w:pPr>
      <w:r>
        <w:t>Pruebas ejecutadas</w:t>
      </w:r>
    </w:p>
    <w:p>
      <w:r>
        <w:t>Pasaron 13 pruebas unitarias: contraseñas saladas, hashes corruptos, validadores, permisos, correo, huellas de solicitudes, descuentos y reportes, promedio ponderado, costos inválidos y límite de intentos por IP. Se comprobó la sintaxis de los archivos JavaScript modificados.</w:t>
      </w:r>
    </w:p>
    <w:p>
      <w:r>
        <w:t>Pasaron pruebas transaccionales en MySQL aislado en el puerto 3307: compras y proveedor obligatorio, promedio ponderado, precio calculado, protección contra solicitudes duplicadas, permisos, ocultación de costos al agente, stock insuficiente, despacho único, devoluciones parciales, cuarentena, reintegro y devolución excesiva. También se rechazaron detalles nulos, indicadores booleanos en texto y estado de usuario inválido. Todos los registros de prueba se revirtieron.</w:t>
      </w:r>
    </w:p>
    <w:p>
      <w:pPr>
        <w:pStyle w:val="Heading2"/>
      </w:pPr>
      <w:r>
        <w:t>Correcciones de seguridad</w:t>
      </w:r>
    </w:p>
    <w:p>
      <w:r>
        <w:t>Se validan explícitamente los detalles de productos, el indicador de captura sin conexión y el estado activo. Los hashes corruptos se rechazan sin error interno. El inicio de sesión añade un límite de 60 intentos por IP en cinco minutos, además del límite por correo; las respuestas 429 incluyen Retry-After. Los errores internos inesperados ya no escriben su mensaje completo en el registro del servidor.</w:t>
      </w:r>
    </w:p>
    <w:p>
      <w:r>
        <w:t>La revisión de código verificó consultas parametrizadas, permisos en servidor, sesiones con cookies HttpOnly y SameSite, protección de origen, cabeceras de seguridad y separación del directorio público. Esta revisión no constituye una certificación de seguridad. Quedan pendientes pruebas HTTP completas y revisión visual de esta versión: el arranque del servidor HTTP aislado fue bloqueado por la revisión automática, sin un motivo específico. Tampoco se verificó un despliegue con HTTPS. El modo sin conexión conserva datos locales sin cifrado y no puede aplicar revocaciones hasta volver a conectarse.</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una contraseña ya cambió, utiliza la actual. Estas son credenciales iniciales de la aplicación, no de MySQL. No se muestran en la interfaz.</w:t>
      </w:r>
    </w:p>
    <w:p>
      <w:pPr>
        <w:pStyle w:val="Heading2"/>
      </w:pPr>
      <w:r>
        <w:t>Aplicar la actualización y consultar MySQL</w:t>
      </w:r>
    </w:p>
    <w:p>
      <w:r>
        <w:t>Reinicia el servidor con Ctrl+C y npm.cmd start, o vuelve a ejecutar iniciar.bat. Abre http://localhost:3080 y recarga con Ctrl+F5. Mantén MySQL80 iniciado. En MySQL Workbench selecciona pharmaboost_js y utiliza database/consultas_workbench.sql. No recrees la base ni vuelvas a cargar datos iniciales. Los documentos previos se conservan; este informe no contiene credenciales MySQL.</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Versión 2.20 • 25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