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Seguridad y pruebas de PharmaBoost</w:t>
      </w:r>
    </w:p>
    <w:p>
      <w:r>
        <w:t>Versión 2.23 • 1 de octubre de 2026 • Evidencias para la sustentación</w:t>
      </w:r>
    </w:p>
    <w:p>
      <w:r>
        <w:t>Se contrastó el proyecto con los 15 criterios del documento RUBRICA DE SEGURIDAD Y PRUEBAS DE GESTION. Se implementó el bloqueo de acceso tras cinco fallos y se comprobaron los controles existentes mediante pruebas unitarias, transacciones MySQL, solicitudes HTTP y navegador. Los resultados siguientes corresponden a los casos ejecutados en el entorno local.</w:t>
      </w:r>
    </w:p>
    <w:p>
      <w:pPr>
        <w:pStyle w:val="Heading2"/>
      </w:pPr>
      <w:r>
        <w:t>Cambios de esta actualización</w:t>
      </w:r>
    </w:p>
    <w:p>
      <w:r>
        <w:t>El quinto fallo consecutivo dentro de cinco minutos bloquea el correo durante cinco minutos desde ese fallo. El registro queda en MySQL y se consulta en cada acceso; no depende del contador del navegador. Mientras dura el bloqueo, se rechaza incluso la contraseña correcta. Un acceso correcto reinicia la secuencia. El login muestra una cuenta regresiva y deshabilita su botón para el correo bloqueado.</w:t>
      </w:r>
    </w:p>
    <w:p>
      <w:r>
        <w:t>Se añadieron pruebas reproducibles, consultas de evidencia para Workbench y una nueva versión de caché. No se añadieron tablas ni se cambiaron contraseñas. La opción Olvidé mi contraseña continúa retirada.</w:t>
      </w:r>
    </w:p>
    <w:p>
      <w:pPr>
        <w:pStyle w:val="Heading2"/>
      </w:pPr>
      <w:r>
        <w:t>Matriz de comprobación de acceso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cantSplit/>
        </w:trPr>
        <w:tc>
          <w:tcPr>
            <w:tcW w:type="dxa" w:w="2880"/>
            <w:shd w:fill="EAEFED"/>
          </w:tcPr>
          <w:p>
            <w:pPr>
              <w:spacing w:before="80" w:after="80"/>
            </w:pPr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6624"/>
            <w:shd w:fill="EAEFED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y evidencia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Inicio de sesión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Verificado por HTTP con Administrador, Ventas, Agente y TIC; también se observó la entrada al panel en navegador.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Cierre de sesión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Logout devuelve éxito y el mismo token deja de acceder a bootstrap. Verificado además en navegador.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Contraseñas protegidas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PBKDF2 con sal aleatoria; pruebas de hash y verificación. La API no devuelve password_hash.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Roles de usuario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Cuatro roles diferenciados en servidor y datos de sesión. Acceso válido probado para cada rol.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Permisos según rol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Agente, Ventas y TIC no crean usuarios; Agente y TIC no modifican inventario; Ventas y Agente no consultan auditoría.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Páginas restringidas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Los datos privados requieren sesión; llamadas directas sin token o con token inválido devuelven 401. El catálogo público es intencional.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Formularios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Campos obligatorios del login verificados en navegador. También se observó la alerta de credenciales incorrectas.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Validación del servidor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Rechaza correo inválido, arrays como cuerpo JSON, productos incompletos, precios inválidos y detalles nulos.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Resultados de seguridad e integración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cantSplit/>
        </w:trPr>
        <w:tc>
          <w:tcPr>
            <w:tcW w:type="dxa" w:w="2880"/>
            <w:shd w:fill="EAEFED"/>
          </w:tcPr>
          <w:p>
            <w:pPr>
              <w:spacing w:before="80" w:after="80"/>
            </w:pPr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6624"/>
            <w:shd w:fill="EAEFED"/>
          </w:tcPr>
          <w:p>
            <w:pPr>
              <w:spacing w:before="80" w:after="80"/>
            </w:pPr>
            <w:r>
              <w:rPr>
                <w:b/>
                <w:sz w:val="18"/>
              </w:rPr>
              <w:t>Resultado y evidencia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SQL Injection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Consultas parametrizadas revisadas. Un correo con contenido de inyección no autentica; no se ejecutan condiciones SQL aportadas por el usuario.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Sesiones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Tokens aleatorios guardados con hash; cookie HttpOnly y SameSite Strict. Expiración configurada en 12 horas; logout revoca el token probado.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Información sensible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/.env, /server/db.js, /database/schema.sql y documentos privados no se sirven por HTTP. Catálogo público sin costos ni hashes.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Cinco intentos fallidos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Probados cuatro rechazos, bloqueo en el quinto, rechazo de contraseña correcta durante el bloqueo y desbloqueo al vencimiento. Cuenta regresiva observada en navegador.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Interacción entre módulos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Prueba MySQL de promoción, agente, tienda, pedido, despacho, inventario y devolución: cantidades, descuento y restricciones coherentes.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Alertas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Mensajes de error de login y bloqueo visibles. Errores de permisos y validación se devuelven con estado controlado; conflictos de stock y pedidos probados.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rPr>
                <w:sz w:val="18"/>
              </w:rPr>
              <w:t>Manejo seguro de errores</w:t>
            </w:r>
          </w:p>
        </w:tc>
        <w:tc>
          <w:tcPr>
            <w:tcW w:type="dxa" w:w="6624"/>
          </w:tcPr>
          <w:p>
            <w:pPr>
              <w:spacing w:before="80" w:after="80"/>
            </w:pPr>
            <w:r>
              <w:rPr>
                <w:sz w:val="18"/>
              </w:rPr>
              <w:t>Solicitudes no autorizadas, origen ajeno, MIME incorrecto y datos inválidos se rechazan. Respuestas comprobadas sin SQL, stack ni hash de contraseña.</w:t>
            </w:r>
          </w:p>
        </w:tc>
      </w:tr>
    </w:tbl>
    <w:p>
      <w:pPr>
        <w:spacing w:after="0"/>
      </w:pPr>
    </w:p>
    <w:p>
      <w:pPr>
        <w:pStyle w:val="Heading2"/>
      </w:pPr>
      <w:r>
        <w:t>Pruebas ejecutadas</w:t>
      </w:r>
    </w:p>
    <w:p>
      <w:r>
        <w:t>15 pruebas unitarias aprobadas con npm.cmd test. 50 comprobaciones HTTP aprobadas con node tests/http-security.js contra localhost:3080. Las solicitudes HTTP iniciaron y cerraron sesiones y generaron auditoría; no modificaron datos comerciales.</w:t>
      </w:r>
    </w:p>
    <w:p>
      <w:r>
        <w:t>Las suites tests/rubric.integration.js y tests/operations.integration.js pasaron sobre MySQL aislado en el puerto 3307. Usaron transacciones revertidas. La primera comprobó hash, bloqueo, vencimiento y reinicio de fallos; la segunda comprobó compras, costo promedio, precios, permisos, despacho único, stock insuficiente, devoluciones y solicitudes duplicadas.</w:t>
      </w:r>
    </w:p>
    <w:p>
      <w:pPr>
        <w:pStyle w:val="Heading2"/>
      </w:pPr>
      <w:r>
        <w:t>Alcance y limitaciones</w:t>
      </w:r>
    </w:p>
    <w:p>
      <w:r>
        <w:t>La evaluación es local y cubre casos concretos; no equivale a una certificación ni a una prueba exhaustiva de penetración. HTTPS en producción no fue probado. Secure se activa en cookies al configurar NODE_ENV=production y debe utilizarse con HTTPS.</w:t>
      </w:r>
    </w:p>
    <w:p>
      <w:r>
        <w:t>El modo sin conexión conserva datos locales en el dispositivo durante el plazo autorizado. No cifra esos datos ni permite revocar inmediatamente un dispositivo desconectado. El bloqueo impide nuevos accesos y no cierra sesiones previamente válidas. Los controles por IP en memoria son adicionales; el bloqueo por cinco fallos se guarda en MySQL.</w:t>
      </w:r>
    </w:p>
    <w:p>
      <w:r>
        <w:br w:type="page"/>
      </w:r>
    </w:p>
    <w:p>
      <w:pPr>
        <w:pStyle w:val="Heading1"/>
      </w:pPr>
      <w:r>
        <w:t>Guía para demostrar la rúbrica</w:t>
      </w:r>
    </w:p>
    <w:p>
      <w:r>
        <w:t>1. Abre http://localhost:3080. Intenta enviar el login vacío: el navegador exige completar los campos. Usa un correo de ejemplo sin cuenta para demostrar errores sin bloquear tus cuentas reales.</w:t>
      </w:r>
    </w:p>
    <w:p>
      <w:r>
        <w:t>2. Envía cinco veces una contraseña incorrecta para el mismo correo dentro de cinco minutos. Los primeros cuatro intentos muestran rechazo; el quinto deshabilita el botón y muestra la cuenta regresiva. Recargar no elimina el bloqueo del servidor; este se vuelve a comunicar al intentar acceder.</w:t>
      </w:r>
    </w:p>
    <w:p>
      <w:r>
        <w:t>3. Inicia sesión con cada rol para mostrar sus menús. Ejecuta node tests/http-security.js para demostrar también que las restricciones se aplican a solicitudes directas, no solo a botones ocultos. Esta prueba usa las cuentas iniciales; si cambiaste sus claves, debes adaptar localmente la prueba antes de ejecutarla.</w:t>
      </w:r>
    </w:p>
    <w:p>
      <w:r>
        <w:t>4. Demuestra el flujo de negocio con registros destinados a pruebas: promoción y asignación, visita, pedido, seguimiento, despacho y devolución. Para repetir automáticamente sin alterar registros comerciales, usa las suites transaccionales exclusivamente sobre la instancia aislada 3307.</w:t>
      </w:r>
    </w:p>
    <w:p>
      <w:r>
        <w:t>5. Cierra sesión y ejecuta las comprobaciones HTTP de sesión revocada. En Workbench utiliza las consultas añadidas a database/consultas_workbench.sql para mostrar roles, formato de hashes y eventos auth_failure, auth_locked y auth_success sin revelar credenciales.</w:t>
      </w:r>
    </w:p>
    <w:p>
      <w:pPr>
        <w:pStyle w:val="Heading2"/>
      </w:pPr>
      <w:r>
        <w:t>Usuarios iniciales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024"/>
      </w:tblGrid>
      <w:tr>
        <w:trPr>
          <w:cantSplit/>
        </w:trPr>
        <w:tc>
          <w:tcPr>
            <w:tcW w:type="dxa" w:w="1800"/>
            <w:shd w:fill="EAEFED"/>
          </w:tcPr>
          <w:p>
            <w:pPr>
              <w:spacing w:before="80" w:after="80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4680"/>
            <w:shd w:fill="EAEFED"/>
          </w:tcPr>
          <w:p>
            <w:pPr>
              <w:spacing w:before="80" w:after="80"/>
            </w:pPr>
            <w:r>
              <w:rPr>
                <w:b/>
                <w:sz w:val="18"/>
              </w:rPr>
              <w:t>Correo</w:t>
            </w:r>
          </w:p>
        </w:tc>
        <w:tc>
          <w:tcPr>
            <w:tcW w:type="dxa" w:w="3024"/>
            <w:shd w:fill="EAEFED"/>
          </w:tcPr>
          <w:p>
            <w:pPr>
              <w:spacing w:before="80" w:after="80"/>
            </w:pPr>
            <w:r>
              <w:rPr>
                <w:b/>
                <w:sz w:val="18"/>
              </w:rPr>
              <w:t>Contraseña inicial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80" w:after="8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8"/>
              </w:rPr>
              <w:t>admin@pharmaboost.local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sz w:val="18"/>
              </w:rPr>
              <w:t>Pharma2026!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80" w:after="80"/>
            </w:pPr>
            <w:r>
              <w:rPr>
                <w:sz w:val="18"/>
              </w:rPr>
              <w:t>Ventas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8"/>
              </w:rPr>
              <w:t>ventas@pharmaboost.local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sz w:val="18"/>
              </w:rPr>
              <w:t>Pharma2026!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80" w:after="80"/>
            </w:pPr>
            <w:r>
              <w:rPr>
                <w:sz w:val="18"/>
              </w:rPr>
              <w:t>Agente Nova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8"/>
              </w:rPr>
              <w:t>agente@pharmaboost.local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sz w:val="18"/>
              </w:rPr>
              <w:t>Pharma2026!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80" w:after="80"/>
            </w:pPr>
            <w:r>
              <w:rPr>
                <w:sz w:val="18"/>
              </w:rPr>
              <w:t>Agente Vitalis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8"/>
              </w:rPr>
              <w:t>agente2@pharmaboost.local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sz w:val="18"/>
              </w:rPr>
              <w:t>Pharma2026!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80" w:after="80"/>
            </w:pPr>
            <w:r>
              <w:rPr>
                <w:sz w:val="18"/>
              </w:rPr>
              <w:t>TIC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sz w:val="18"/>
              </w:rPr>
              <w:t>tic@pharmaboost.local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sz w:val="18"/>
              </w:rPr>
              <w:t>Pharma2026!</w:t>
            </w:r>
          </w:p>
        </w:tc>
      </w:tr>
    </w:tbl>
    <w:p>
      <w:pPr>
        <w:spacing w:after="0"/>
      </w:pPr>
    </w:p>
    <w:p>
      <w:r>
        <w:t>Si ya cambiaste una contraseña, utiliza la actual. Este documento contiene las cuentas iniciales solicitadas y debe compartirse solo con quien deba conocerlas. No contiene credenciales de MySQL.</w:t>
      </w:r>
    </w:p>
    <w:p>
      <w:pPr>
        <w:pStyle w:val="Heading2"/>
      </w:pPr>
      <w:r>
        <w:t>Inicio y MySQL Workbench</w:t>
      </w:r>
    </w:p>
    <w:p>
      <w:r>
        <w:t>Mantén MySQL80 activo. Inicia con iniciar.bat o npm.cmd start; si ya había un servidor antiguo, ciérralo con Ctrl+C antes de iniciar el nuevo. Recarga con Ctrl+F5. La base del proyecto es pharmaboost_js; no es pharmaboost. No recrees tablas ni vuelvas a cargar datos iniciales.</w:t>
      </w:r>
    </w:p>
    <w:p>
      <w:r>
        <w:t>Para pruebas aisladas ya configuradas: node --env-file=.qa/test.env tests/rubric.integration.js y node --env-file=.qa/test.env tests/operations.integration.js. Requieren la instancia de prueba MySQL en 3307. No incluyas archivos .env ni .qa en entregas comprimidas.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PharmaBoost • Rúbrica de seguridad • Versión 2.23 • 1 de octubre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Actualización de PharmaBoost versión 2.5</dc:title>
  <dc:subject>Pedidos y visitas precargados</dc:subject>
  <dc:creator>PharmaBoost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