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Reportes e inventario de PharmaBoost</w:t>
      </w:r>
    </w:p>
    <w:p>
      <w:r>
        <w:t>Actualización 2.26 • 3 de octubre de 2026 • Preparado para Samuel Palacio</w:t>
      </w:r>
    </w:p>
    <w:p>
      <w:r>
        <w:t>Esta actualización amplía los reportes y añade unidades de presentación y máximos sugeridos al inventario. Este documento explica cómo usarlos, relaciona las funciones con los requisitos enviados y distingue las funciones verificadas de las limitaciones pendientes.</w:t>
      </w:r>
    </w:p>
    <w:p>
      <w:pPr>
        <w:pStyle w:val="Heading2"/>
      </w:pPr>
      <w:r>
        <w:t>Tipo de sistema y alcance en Colombia</w:t>
      </w:r>
    </w:p>
    <w:p>
      <w:r>
        <w:t>PharmaBoost gestiona promociones comerciales, visitas a tiendas, pedidos e inventario. Las tiendas representan a los clientes y los agentes a los vendedores. Los valores se expresan en pesos colombianos y los reportes usan fechas de Colombia. Un pedido registra una solicitud comercial: su total no equivale a dinero cobrado.</w:t>
      </w:r>
    </w:p>
    <w:p>
      <w:r>
        <w:t>El inventario es permanente por movimientos, con costo promedio ponderado cuando existe información suficiente. Conserva entradas, salidas, ajustes, despachos y reintegros de devoluciones. El costo desconocido se identifica como sin valorar; no se sustituye por cero para aparentar rentabilidad.</w:t>
      </w:r>
    </w:p>
    <w:p>
      <w:pPr>
        <w:pStyle w:val="Heading2"/>
      </w:pPr>
      <w:r>
        <w:t>Correspondencia con la rúbrica</w:t>
      </w:r>
    </w:p>
    <w:tbl>
      <w:tblPr>
        <w:tblStyle w:val="TableGrid"/>
        <w:tblW w:type="auto" w:w="0"/>
        <w:tblLayout w:type="fixed"/>
        <w:tblLook w:firstColumn="1" w:firstRow="1" w:lastColumn="0" w:lastRow="0" w:noHBand="0" w:noVBand="1" w:val="04A0"/>
      </w:tblPr>
      <w:tblGrid>
        <w:gridCol w:w="2592"/>
        <w:gridCol w:w="6912"/>
      </w:tblGrid>
      <w:tr>
        <w:trPr>
          <w:cantSplit/>
        </w:trPr>
        <w:tc>
          <w:tcPr>
            <w:tcW w:type="dxa" w:w="2592"/>
            <w:shd w:fill="EAEFED"/>
          </w:tcPr>
          <w:p>
            <w:pPr>
              <w:spacing w:before="80" w:after="80"/>
            </w:pPr>
            <w:r>
              <w:rPr>
                <w:b/>
                <w:sz w:val="18"/>
              </w:rPr>
              <w:t>Requisito</w:t>
            </w:r>
          </w:p>
        </w:tc>
        <w:tc>
          <w:tcPr>
            <w:tcW w:type="dxa" w:w="6912"/>
            <w:shd w:fill="EAEFED"/>
          </w:tcPr>
          <w:p>
            <w:pPr>
              <w:spacing w:before="80" w:after="80"/>
            </w:pPr>
            <w:r>
              <w:rPr>
                <w:b/>
                <w:sz w:val="18"/>
              </w:rPr>
              <w:t>Aplicación en PharmaBoost</w:t>
            </w:r>
          </w:p>
        </w:tc>
      </w:tr>
      <w:tr>
        <w:trPr>
          <w:cantSplit/>
        </w:trPr>
        <w:tc>
          <w:tcPr>
            <w:tcW w:type="dxa" w:w="2592"/>
          </w:tcPr>
          <w:p>
            <w:pPr>
              <w:spacing w:before="80" w:after="80"/>
            </w:pPr>
            <w:r>
              <w:rPr>
                <w:sz w:val="18"/>
              </w:rPr>
              <w:t>Productos y categorías</w:t>
            </w:r>
          </w:p>
        </w:tc>
        <w:tc>
          <w:tcPr>
            <w:tcW w:type="dxa" w:w="6912"/>
          </w:tcPr>
          <w:p>
            <w:pPr>
              <w:spacing w:before="80" w:after="80"/>
            </w:pPr>
            <w:r>
              <w:rPr>
                <w:sz w:val="18"/>
              </w:rPr>
              <w:t>Catálogo, creación y edición de productos y categoría.</w:t>
            </w:r>
          </w:p>
        </w:tc>
      </w:tr>
      <w:tr>
        <w:trPr>
          <w:cantSplit/>
        </w:trPr>
        <w:tc>
          <w:tcPr>
            <w:tcW w:type="dxa" w:w="2592"/>
          </w:tcPr>
          <w:p>
            <w:pPr>
              <w:spacing w:before="80" w:after="80"/>
            </w:pPr>
            <w:r>
              <w:rPr>
                <w:sz w:val="18"/>
              </w:rPr>
              <w:t>Unidades de medida</w:t>
            </w:r>
          </w:p>
        </w:tc>
        <w:tc>
          <w:tcPr>
            <w:tcW w:type="dxa" w:w="6912"/>
          </w:tcPr>
          <w:p>
            <w:pPr>
              <w:spacing w:before="80" w:after="80"/>
            </w:pPr>
            <w:r>
              <w:rPr>
                <w:sz w:val="18"/>
              </w:rPr>
              <w:t>Unidad de presentación: unidad, caja, frasco, tubo, paquete, blíster o kit. Cantidades enteras, sin conversiones.</w:t>
            </w:r>
          </w:p>
        </w:tc>
      </w:tr>
      <w:tr>
        <w:trPr>
          <w:cantSplit/>
        </w:trPr>
        <w:tc>
          <w:tcPr>
            <w:tcW w:type="dxa" w:w="2592"/>
          </w:tcPr>
          <w:p>
            <w:pPr>
              <w:spacing w:before="80" w:after="80"/>
            </w:pPr>
            <w:r>
              <w:rPr>
                <w:sz w:val="18"/>
              </w:rPr>
              <w:t>Proveedores y compras</w:t>
            </w:r>
          </w:p>
        </w:tc>
        <w:tc>
          <w:tcPr>
            <w:tcW w:type="dxa" w:w="6912"/>
          </w:tcPr>
          <w:p>
            <w:pPr>
              <w:spacing w:before="80" w:after="80"/>
            </w:pPr>
            <w:r>
              <w:rPr>
                <w:sz w:val="18"/>
              </w:rPr>
              <w:t>Directorio de proveedores y selección al registrar una compra.</w:t>
            </w:r>
          </w:p>
        </w:tc>
      </w:tr>
      <w:tr>
        <w:trPr>
          <w:cantSplit/>
        </w:trPr>
        <w:tc>
          <w:tcPr>
            <w:tcW w:type="dxa" w:w="2592"/>
          </w:tcPr>
          <w:p>
            <w:pPr>
              <w:spacing w:before="80" w:after="80"/>
            </w:pPr>
            <w:r>
              <w:rPr>
                <w:sz w:val="18"/>
              </w:rPr>
              <w:t>Existencias y ajustes</w:t>
            </w:r>
          </w:p>
        </w:tc>
        <w:tc>
          <w:tcPr>
            <w:tcW w:type="dxa" w:w="6912"/>
          </w:tcPr>
          <w:p>
            <w:pPr>
              <w:spacing w:before="80" w:after="80"/>
            </w:pPr>
            <w:r>
              <w:rPr>
                <w:sz w:val="18"/>
              </w:rPr>
              <w:t>Movimientos con motivo, cantidades, mínimo y observaciones; saldo calculado desde el historial.</w:t>
            </w:r>
          </w:p>
        </w:tc>
      </w:tr>
      <w:tr>
        <w:trPr>
          <w:cantSplit/>
        </w:trPr>
        <w:tc>
          <w:tcPr>
            <w:tcW w:type="dxa" w:w="2592"/>
          </w:tcPr>
          <w:p>
            <w:pPr>
              <w:spacing w:before="80" w:after="80"/>
            </w:pPr>
            <w:r>
              <w:rPr>
                <w:sz w:val="18"/>
              </w:rPr>
              <w:t>Kardex y costos</w:t>
            </w:r>
          </w:p>
        </w:tc>
        <w:tc>
          <w:tcPr>
            <w:tcW w:type="dxa" w:w="6912"/>
          </w:tcPr>
          <w:p>
            <w:pPr>
              <w:spacing w:before="80" w:after="80"/>
            </w:pPr>
            <w:r>
              <w:rPr>
                <w:sz w:val="18"/>
              </w:rPr>
              <w:t>Historial completo recibido, saldo anterior y posterior, costo de compra y valoración del stock.</w:t>
            </w:r>
          </w:p>
        </w:tc>
      </w:tr>
      <w:tr>
        <w:trPr>
          <w:cantSplit/>
        </w:trPr>
        <w:tc>
          <w:tcPr>
            <w:tcW w:type="dxa" w:w="2592"/>
          </w:tcPr>
          <w:p>
            <w:pPr>
              <w:spacing w:before="80" w:after="80"/>
            </w:pPr>
            <w:r>
              <w:rPr>
                <w:sz w:val="18"/>
              </w:rPr>
              <w:t>Mínimos y máximos</w:t>
            </w:r>
          </w:p>
        </w:tc>
        <w:tc>
          <w:tcPr>
            <w:tcW w:type="dxa" w:w="6912"/>
          </w:tcPr>
          <w:p>
            <w:pPr>
              <w:spacing w:before="80" w:after="80"/>
            </w:pPr>
            <w:r>
              <w:rPr>
                <w:sz w:val="18"/>
              </w:rPr>
              <w:t>Mínimo en movimientos; máximo sugerido en producto, alertas y filtros de existencias.</w:t>
            </w:r>
          </w:p>
        </w:tc>
      </w:tr>
      <w:tr>
        <w:trPr>
          <w:cantSplit/>
        </w:trPr>
        <w:tc>
          <w:tcPr>
            <w:tcW w:type="dxa" w:w="2592"/>
          </w:tcPr>
          <w:p>
            <w:pPr>
              <w:spacing w:before="80" w:after="80"/>
            </w:pPr>
            <w:r>
              <w:rPr>
                <w:sz w:val="18"/>
              </w:rPr>
              <w:t>Clientes y vendedores</w:t>
            </w:r>
          </w:p>
        </w:tc>
        <w:tc>
          <w:tcPr>
            <w:tcW w:type="dxa" w:w="6912"/>
          </w:tcPr>
          <w:p>
            <w:pPr>
              <w:spacing w:before="80" w:after="80"/>
            </w:pPr>
            <w:r>
              <w:rPr>
                <w:sz w:val="18"/>
              </w:rPr>
              <w:t>Tiendas y usuarios asignados a promociones.</w:t>
            </w:r>
          </w:p>
        </w:tc>
      </w:tr>
      <w:tr>
        <w:trPr>
          <w:cantSplit/>
        </w:trPr>
        <w:tc>
          <w:tcPr>
            <w:tcW w:type="dxa" w:w="2592"/>
          </w:tcPr>
          <w:p>
            <w:pPr>
              <w:spacing w:before="80" w:after="80"/>
            </w:pPr>
            <w:r>
              <w:rPr>
                <w:sz w:val="18"/>
              </w:rPr>
              <w:t>Detalle y comprobante</w:t>
            </w:r>
          </w:p>
        </w:tc>
        <w:tc>
          <w:tcPr>
            <w:tcW w:type="dxa" w:w="6912"/>
          </w:tcPr>
          <w:p>
            <w:pPr>
              <w:spacing w:before="80" w:after="80"/>
            </w:pPr>
            <w:r>
              <w:rPr>
                <w:sz w:val="18"/>
              </w:rPr>
              <w:t>Pedido con fecha, productos, cantidades, precios, descuentos aplicables, total y estado; consulta e impresión del comprobante.</w:t>
            </w:r>
          </w:p>
        </w:tc>
      </w:tr>
    </w:tbl>
    <w:p>
      <w:pPr>
        <w:spacing w:after="0"/>
      </w:pPr>
    </w:p>
    <w:p>
      <w:r>
        <w:t>No se implementaron cobros, forma de pago, liquidación de impuestos ni facturación electrónica. Quedan fuera del alcance actual de toma de pedidos. Si la evaluación exige ventas facturadas, esos requisitos siguen pendientes y requieren ampliar el proceso; esta actualización no acredita cumplimiento fiscal.</w:t>
      </w:r>
    </w:p>
    <w:p>
      <w:r>
        <w:br w:type="page"/>
      </w:r>
    </w:p>
    <w:p>
      <w:pPr>
        <w:pStyle w:val="Heading1"/>
      </w:pPr>
      <w:r>
        <w:t>Cómo consultar y exportar reportes</w:t>
      </w:r>
    </w:p>
    <w:p>
      <w:r>
        <w:t>1. Inicia sesión como Administrador o Ventas y abre Reportes. Elige Resumen general, Pedidos por tienda y producto, Inventario general, Kardex de movimientos o Compras por proveedor.</w:t>
      </w:r>
    </w:p>
    <w:p>
      <w:r>
        <w:t>2. Selecciona fechas, producto, categoría y los demás filtros aplicables. Las etiquetas indican si un filtro corresponde a pedidos, inventario o movimientos. Usa Buscar y Orden para localizar los registros.</w:t>
      </w:r>
    </w:p>
    <w:p>
      <w:r>
        <w:t>3. Pulsa Aplicar filtros. Los botones CSV, Excel, PDF e Imprimir utilizan el último conjunto de filtros aplicado. Limpiar restablece el resumen general.</w:t>
      </w:r>
    </w:p>
    <w:p>
      <w:r>
        <w:t>4. Revisa los indicadores y la tabla. Ver detalle abre el pedido o los campos del registro seleccionado. Excel genera un archivo .xlsx con valores numéricos y textos literales. PDF presenta los registros como campos y valores para evitar tablas demasiado anchas.</w:t>
      </w:r>
    </w:p>
    <w:p>
      <w:pPr>
        <w:pStyle w:val="Heading2"/>
      </w:pPr>
      <w:r>
        <w:t>Qué significa cada resultado</w:t>
      </w:r>
    </w:p>
    <w:p>
      <w:r>
        <w:t>Resumen general e Inventario general muestran las existencias actuales de los datos recibidos en la última sincronización. Las fechas del resumen filtran sus pedidos; no reconstruyen el inventario al cierre de una fecha pasada. Un producto sin movimientos aparece como Sin registrar y no como Agotado.</w:t>
      </w:r>
    </w:p>
    <w:p>
      <w:r>
        <w:t>Pedidos muestra una fila por producto del pedido. Al filtrar un producto, solo se suma su línea. Los totales excluyen cancelados y registros en revisión. Se distinguen valor original, devoluciones conocidas de los pedidos seleccionados y valor neto. Las fechas corresponden al pedido, no a la devolución.</w:t>
      </w:r>
    </w:p>
    <w:p>
      <w:r>
        <w:t>Kardex consulta todos los movimientos recibidos, sin el límite de 200 del listado operativo. Calcula el saldo antes de aplicar el rango de fechas, de modo que el saldo inicial del período incluya el historial anterior. Los indicadores cuentan movimientos de entrada y salida; no mezclan cantidades de presentaciones distintas.</w:t>
      </w:r>
    </w:p>
    <w:p>
      <w:r>
        <w:t>Compras por proveedor selecciona entradas cuyo motivo es Compra a proveedor. Permite revisar proveedor, referencia, costo unitario y valor conocido de compra. Las compras antiguas sin proveedor registrado conservan su texto histórico y pueden localizarse con Buscar; no se vinculan automáticamente a un proveedor nuevo.</w:t>
      </w:r>
    </w:p>
    <w:p>
      <w:pPr>
        <w:pStyle w:val="Heading2"/>
      </w:pPr>
      <w:r>
        <w:t>Ejemplos para la sustentación</w:t>
      </w:r>
    </w:p>
    <w:p>
      <w:r>
        <w:t>Para consultar pedidos de una tienda, selecciona Pedidos por tienda y producto, elige la tienda y aplica fechas. Para encontrar productos bajo mínimo, usa Inventario general y Existencias: Por debajo del mínimo. Para revisar compras, selecciona Compras por proveedor y el proveedor. Exporta después de aplicar los filtros.</w:t>
      </w:r>
    </w:p>
    <w:p>
      <w:r>
        <w:br w:type="page"/>
      </w:r>
    </w:p>
    <w:p>
      <w:pPr>
        <w:pStyle w:val="Heading1"/>
      </w:pPr>
      <w:r>
        <w:t>Configurar inventario y verificar el cambio</w:t>
      </w:r>
    </w:p>
    <w:p>
      <w:pPr>
        <w:pStyle w:val="Heading2"/>
      </w:pPr>
      <w:r>
        <w:t>Unidad y máximo sugerido</w:t>
      </w:r>
    </w:p>
    <w:p>
      <w:r>
        <w:t>1. Como Administrador, abre Catálogo y crea o edita el producto. Selecciona su unidad de presentación y el máximo sugerido. Cero significa máximo sin definir.</w:t>
      </w:r>
    </w:p>
    <w:p>
      <w:r>
        <w:t>2. Una vez registrado inventario no puedes cambiar la unidad, porque cambiaría la interpretación de todo el historial. Crea un producto distinto para otra presentación. El máximo no puede ser menor que el mínimo configurado.</w:t>
      </w:r>
    </w:p>
    <w:p>
      <w:r>
        <w:t>3. En Inventario registra entradas o salidas con el motivo correspondiente. Las compras requieren un proveedor activo; el costo permite actualizar el promedio ponderado. Los despachos descuentan existencias y las devoluciones con reintegro las restituyen según el flujo existente.</w:t>
      </w:r>
    </w:p>
    <w:p>
      <w:r>
        <w:t>El máximo es una referencia para revisión y filtros, no un bloqueo para recibir mercancía. No hay conversión de cajas a unidades, manejo por lotes, vencimientos ni reconstrucción de inventario histórico por fecha.</w:t>
      </w:r>
    </w:p>
    <w:p>
      <w:pPr>
        <w:pStyle w:val="Heading2"/>
      </w:pPr>
      <w:r>
        <w:t>Pruebas realizadas</w:t>
      </w:r>
    </w:p>
    <w:p>
      <w:r>
        <w:t>Pasaron 21 pruebas unitarias, incluyendo filtrado por producto, fechas de Colombia, exclusión de cancelados y revisión, devoluciones y neto, kardex con saldo anterior, compras por proveedor y 220 movimientos sin truncamiento.</w:t>
      </w:r>
    </w:p>
    <w:p>
      <w:r>
        <w:t>Pasó la suite transaccional de operaciones en MySQL aislado: compras, proveedores, costos, descuentos, despachos y devoluciones. Se agregaron comprobaciones de unidad persistida, rechazo de cambio de unidad con historial, máximo menor al mínimo y permisos de agente. Los registros de esa suite se revirtieron.</w:t>
      </w:r>
    </w:p>
    <w:p>
      <w:r>
        <w:t>Pasaron 50 comprobaciones HTTP de autenticación, sesiones, permisos, validaciones, protección de archivos y ausencia de datos sensibles en respuestas públicas. Se verificó sintaxis. Esto no sustituye una auditoría de seguridad completa ni pruebas de carga.</w:t>
      </w:r>
    </w:p>
    <w:p>
      <w:r>
        <w:t>Se verificó la estructura XLSX con openpyxl: números conservados y texto que comienza con = almacenado como texto, no fórmula. Se generó un PDF con el módulo utilizado por la aplicación. En navegador se comprobaron las vistas de resumen y compras y la aplicación del filtro. La confirmación de la descarga desde navegador y el diálogo de impresión quedaron pendientes por falta de respuesta de la herramienta de navegación.</w:t>
      </w:r>
    </w:p>
    <w:p>
      <w:pPr>
        <w:pStyle w:val="Heading2"/>
      </w:pPr>
      <w:r>
        <w:t>Limitaciones de reportes</w:t>
      </w:r>
    </w:p>
    <w:p>
      <w:r>
        <w:t>Los reportes usan los datos sincronizados del dispositivo y no incluyen pedidos locales aún pendientes de envío. El historial completo se carga al cliente; no se han medido grandes volúmenes ni añadido paginación en servidor. La impresión depende del navegador y la impresora. Los registros en revisión y cancelados pueden mostrarse en la tabla aunque se excluyan del total contabilizado.</w:t>
      </w:r>
    </w:p>
    <w:p>
      <w:r>
        <w:br w:type="page"/>
      </w:r>
    </w:p>
    <w:p>
      <w:pPr>
        <w:pStyle w:val="Heading1"/>
      </w:pPr>
      <w:r>
        <w:t>Puesta en marcha y usuarios iniciales</w:t>
      </w:r>
    </w:p>
    <w:p>
      <w:r>
        <w:t>El servidor local se reinició durante la verificación. Recarga la aplicación con Ctrl+F5. Para iniciarla posteriormente, mantén MySQL80 activo y ejecuta iniciar.bat o npm.cmd start en Pharmaboost1. Abre http://localhost:3080. No abras index.html con doble clic.</w:t>
      </w:r>
    </w:p>
    <w:p>
      <w:pPr>
        <w:pStyle w:val="Heading2"/>
      </w:pPr>
      <w:r>
        <w:t>Usuarios iniciales de la aplicación</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Estas son las credenciales iniciales; si ya cambiaste una contraseña, utiliza la actual. No se publican en la interfaz. Este documento no incluye credenciales de MySQL.</w:t>
      </w:r>
    </w:p>
    <w:p>
      <w:pPr>
        <w:pStyle w:val="Heading2"/>
      </w:pPr>
      <w:r>
        <w:t>Consultar desde MySQL Workbench</w:t>
      </w:r>
    </w:p>
    <w:p>
      <w:r>
        <w:t>Usa la conexión local ya configurada y la base pharmaboost_js. No recrees el esquema ni ejecutes una carga inicial para aplicar esta actualización. Los datos adicionales se conservan en el historial audit, sin requerir permisos de creación de tablas.</w:t>
      </w:r>
    </w:p>
    <w:p>
      <w:r>
        <w:t>SELECT id, event, description, created_at FROM pharmaboost_js.audit WHERE event IN ('producto_config','stock','proveedor') ORDER BY id DESC;</w:t>
      </w:r>
    </w:p>
    <w:p>
      <w:r>
        <w:t>producto_config guarda unit y stock_max. stock conserva movimientos y su unidad; proveedor mantiene versiones del directorio. Los eventos antiguos usan unidad como presentación predeterminada. Consulta database/consultas_workbench.sql para las demás consultas.</w:t>
      </w:r>
    </w:p>
    <w:p>
      <w:pPr>
        <w:pStyle w:val="Heading2"/>
      </w:pPr>
      <w:r>
        <w:t>Contexto colombiano y documentos anteriores</w:t>
      </w:r>
    </w:p>
    <w:p>
      <w:r>
        <w:t>Los comprobantes de PharmaBoost son de pedido. La DIAN describe la validación previa de facturas electrónicas transmitidas conforme a reglas técnicas; ese proceso no forma parte de esta aplicación. Referencia oficial consultada: https://www.dian.gov.co/impuestos/factura-electronica/factura-electronica/Paginas/validacion-previa.aspx</w:t>
      </w:r>
    </w:p>
    <w:p>
      <w:r>
        <w:t>Se conservan los informes anteriores. El manual completo v2.8 explica los flujos de productos, promociones, visitas y pedidos; las actualizaciones posteriores documentan los cambios. Este informe añade reportes y configuración de inventario de la versión 2.26.</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Reportes e inventario • Versión 2.26 • 3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